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0498" w14:textId="132437E4" w:rsidR="00AF38E0" w:rsidRDefault="00304824">
      <w:pPr>
        <w:pStyle w:val="BodyText"/>
        <w:spacing w:before="1"/>
        <w:ind w:left="0" w:firstLine="0"/>
        <w:rPr>
          <w:rFonts w:ascii="Helvetica Neue"/>
          <w:sz w:val="17"/>
        </w:rPr>
      </w:pPr>
      <w:r>
        <w:rPr>
          <w:noProof/>
        </w:rPr>
        <mc:AlternateContent>
          <mc:Choice Requires="wps">
            <w:drawing>
              <wp:anchor distT="0" distB="0" distL="0" distR="0" simplePos="0" relativeHeight="251657728" behindDoc="0" locked="0" layoutInCell="1" allowOverlap="1" wp14:anchorId="0D721633" wp14:editId="217EA8F3">
                <wp:simplePos x="0" y="0"/>
                <wp:positionH relativeFrom="page">
                  <wp:posOffset>866775</wp:posOffset>
                </wp:positionH>
                <wp:positionV relativeFrom="paragraph">
                  <wp:posOffset>156845</wp:posOffset>
                </wp:positionV>
                <wp:extent cx="5943600" cy="0"/>
                <wp:effectExtent l="9525" t="10160" r="9525" b="889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3164"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25pt,12.35pt" to="536.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" strokeweight=".6pt">
                <w10:wrap type="topAndBottom" anchorx="page"/>
              </v:line>
            </w:pict>
          </mc:Fallback>
        </mc:AlternateContent>
      </w:r>
    </w:p>
    <w:p w14:paraId="4E9150E8" w14:textId="6743486D" w:rsidR="000D57F9" w:rsidRDefault="00AB73C5" w:rsidP="000D57F9">
      <w:pPr>
        <w:rPr>
          <w:rFonts w:ascii="Helvetica Neue"/>
          <w:spacing w:val="1"/>
        </w:rPr>
      </w:pPr>
      <w:r>
        <w:rPr>
          <w:rFonts w:ascii="Helvetica Neue"/>
          <w:spacing w:val="-5"/>
        </w:rPr>
        <w:t>Outside Employment or Consulting Practices</w:t>
      </w:r>
      <w:r w:rsidR="003D6544">
        <w:rPr>
          <w:rFonts w:ascii="Helvetica Neue"/>
          <w:spacing w:val="-5"/>
        </w:rPr>
        <w:t xml:space="preserve"> </w:t>
      </w:r>
      <w:r w:rsidR="003D6544">
        <w:rPr>
          <w:rFonts w:ascii="Helvetica Neue"/>
          <w:spacing w:val="-5"/>
          <w:sz w:val="18"/>
        </w:rPr>
        <w:tab/>
      </w:r>
      <w:r w:rsidR="000D57F9">
        <w:rPr>
          <w:rFonts w:ascii="Helvetica Neue"/>
          <w:spacing w:val="-5"/>
          <w:sz w:val="18"/>
        </w:rPr>
        <w:tab/>
      </w:r>
      <w:r w:rsidR="00506426">
        <w:rPr>
          <w:rFonts w:ascii="Helvetica Neue"/>
        </w:rPr>
        <w:t>DCB.611</w:t>
      </w:r>
    </w:p>
    <w:p w14:paraId="3F22BA42" w14:textId="79FD3AFE" w:rsidR="000D57F9" w:rsidRDefault="003D6544" w:rsidP="000D57F9">
      <w:pPr>
        <w:rPr>
          <w:rFonts w:ascii="Helvetica Neue"/>
        </w:rPr>
      </w:pPr>
      <w:r>
        <w:rPr>
          <w:rFonts w:ascii="Helvetica Neue"/>
        </w:rPr>
        <w:t>E</w:t>
      </w:r>
      <w:r>
        <w:rPr>
          <w:rFonts w:ascii="Helvetica Neue"/>
          <w:sz w:val="18"/>
        </w:rPr>
        <w:t xml:space="preserve">FFECTIVE </w:t>
      </w:r>
      <w:r>
        <w:rPr>
          <w:rFonts w:ascii="Helvetica Neue"/>
        </w:rPr>
        <w:t>D</w:t>
      </w:r>
      <w:r>
        <w:rPr>
          <w:rFonts w:ascii="Helvetica Neue"/>
          <w:sz w:val="18"/>
        </w:rPr>
        <w:t>ATE</w:t>
      </w:r>
      <w:r>
        <w:rPr>
          <w:rFonts w:ascii="Helvetica Neue"/>
        </w:rPr>
        <w:t>:</w:t>
      </w:r>
      <w:r w:rsidR="00605651">
        <w:rPr>
          <w:rFonts w:ascii="Helvetica Neue"/>
        </w:rPr>
        <w:t xml:space="preserve"> </w:t>
      </w:r>
      <w:r w:rsidR="0034193F">
        <w:rPr>
          <w:rFonts w:ascii="Helvetica Neue"/>
        </w:rPr>
        <w:t>September 2008</w:t>
      </w:r>
      <w:r w:rsidR="000D57F9">
        <w:rPr>
          <w:rFonts w:ascii="Helvetica Neue"/>
        </w:rPr>
        <w:tab/>
      </w:r>
      <w:r w:rsidR="00283D40">
        <w:rPr>
          <w:rFonts w:ascii="Helvetica Neue"/>
        </w:rPr>
        <w:t>Revi</w:t>
      </w:r>
      <w:r w:rsidR="002A2302">
        <w:rPr>
          <w:rFonts w:ascii="Helvetica Neue"/>
        </w:rPr>
        <w:t>ewed</w:t>
      </w:r>
      <w:r w:rsidR="00283D40">
        <w:rPr>
          <w:rFonts w:ascii="Helvetica Neue"/>
        </w:rPr>
        <w:t>: February</w:t>
      </w:r>
      <w:r w:rsidR="002A2302">
        <w:rPr>
          <w:rFonts w:ascii="Helvetica Neue"/>
        </w:rPr>
        <w:t xml:space="preserve"> 2025</w:t>
      </w:r>
    </w:p>
    <w:p w14:paraId="66AAF769" w14:textId="5EBA88E0" w:rsidR="00F64901" w:rsidRDefault="00F64901" w:rsidP="00B108A1">
      <w:pPr>
        <w:tabs>
          <w:tab w:val="left" w:pos="8059"/>
        </w:tabs>
        <w:spacing w:line="261" w:lineRule="auto"/>
        <w:ind w:right="786"/>
        <w:rPr>
          <w:rFonts w:ascii="Helvetica Neue"/>
        </w:rPr>
      </w:pPr>
      <w:r>
        <w:rPr>
          <w:rFonts w:ascii="Helvetica Neue"/>
        </w:rPr>
        <w:t xml:space="preserve">Source:  </w:t>
      </w:r>
      <w:hyperlink r:id="rId8" w:history="1">
        <w:r w:rsidR="00626800" w:rsidRPr="00626800">
          <w:rPr>
            <w:rStyle w:val="Hyperlink"/>
            <w:rFonts w:ascii="Helvetica Neue"/>
          </w:rPr>
          <w:t>SBHE Policy Manual Section 600</w:t>
        </w:r>
      </w:hyperlink>
    </w:p>
    <w:p w14:paraId="11482AC8" w14:textId="77777777" w:rsidR="000B2828" w:rsidRDefault="000B2828" w:rsidP="000B2828">
      <w:pPr>
        <w:pStyle w:val="Header4"/>
      </w:pPr>
    </w:p>
    <w:p w14:paraId="33E222F5" w14:textId="6BA672AB" w:rsidR="000B2828" w:rsidRDefault="000B2828" w:rsidP="000B2828">
      <w:pPr>
        <w:pStyle w:val="Header4"/>
      </w:pPr>
      <w:r w:rsidRPr="000B2828">
        <w:t>Policy</w:t>
      </w:r>
    </w:p>
    <w:p w14:paraId="1D3D33C3" w14:textId="5AC2E904" w:rsidR="0034193F" w:rsidRPr="0034193F" w:rsidRDefault="0034193F" w:rsidP="0034193F">
      <w:pPr>
        <w:rPr>
          <w:sz w:val="24"/>
          <w:szCs w:val="24"/>
        </w:rPr>
      </w:pPr>
      <w:bookmarkStart w:id="0" w:name="_Hlk40884900"/>
      <w:r w:rsidRPr="0034193F">
        <w:rPr>
          <w:sz w:val="24"/>
          <w:szCs w:val="24"/>
        </w:rPr>
        <w:t>The North Dakota SBHE recognizes that teaching, research</w:t>
      </w:r>
      <w:r w:rsidR="00991AD6">
        <w:rPr>
          <w:sz w:val="24"/>
          <w:szCs w:val="24"/>
        </w:rPr>
        <w:t>,</w:t>
      </w:r>
      <w:r w:rsidRPr="0034193F">
        <w:rPr>
          <w:sz w:val="24"/>
          <w:szCs w:val="24"/>
        </w:rPr>
        <w:t xml:space="preserve"> and public service are the primary responsibilities of faculty and staff members.</w:t>
      </w:r>
      <w:r w:rsidR="00D10820">
        <w:rPr>
          <w:sz w:val="24"/>
          <w:szCs w:val="24"/>
        </w:rPr>
        <w:t xml:space="preserve"> </w:t>
      </w:r>
      <w:r w:rsidRPr="0034193F">
        <w:rPr>
          <w:sz w:val="24"/>
          <w:szCs w:val="24"/>
        </w:rPr>
        <w:t xml:space="preserve">It is, therefore, considered reasonable for employees to engage in consulting activities so long as such activities do not interfere with the </w:t>
      </w:r>
      <w:r w:rsidR="002A2302" w:rsidRPr="0034193F">
        <w:rPr>
          <w:sz w:val="24"/>
          <w:szCs w:val="24"/>
        </w:rPr>
        <w:t>employees’</w:t>
      </w:r>
      <w:r w:rsidRPr="0034193F">
        <w:rPr>
          <w:sz w:val="24"/>
          <w:szCs w:val="24"/>
        </w:rPr>
        <w:t xml:space="preserve"> fulfillment of </w:t>
      </w:r>
      <w:r w:rsidR="00991AD6">
        <w:rPr>
          <w:sz w:val="24"/>
          <w:szCs w:val="24"/>
        </w:rPr>
        <w:t>their</w:t>
      </w:r>
      <w:r w:rsidRPr="0034193F">
        <w:rPr>
          <w:sz w:val="24"/>
          <w:szCs w:val="24"/>
        </w:rPr>
        <w:t xml:space="preserve"> responsibilities to the </w:t>
      </w:r>
      <w:r w:rsidR="002A2302" w:rsidRPr="0034193F">
        <w:rPr>
          <w:sz w:val="24"/>
          <w:szCs w:val="24"/>
        </w:rPr>
        <w:t>employment</w:t>
      </w:r>
      <w:r w:rsidRPr="0034193F">
        <w:rPr>
          <w:sz w:val="24"/>
          <w:szCs w:val="24"/>
        </w:rPr>
        <w:t xml:space="preserve"> agency.</w:t>
      </w:r>
    </w:p>
    <w:p w14:paraId="4FF78107" w14:textId="77777777" w:rsidR="0034193F" w:rsidRPr="0034193F" w:rsidRDefault="0034193F" w:rsidP="0034193F">
      <w:pPr>
        <w:ind w:left="720"/>
        <w:rPr>
          <w:sz w:val="24"/>
          <w:szCs w:val="24"/>
        </w:rPr>
      </w:pPr>
    </w:p>
    <w:p w14:paraId="651DC46E" w14:textId="23575B9D" w:rsidR="0034193F" w:rsidRPr="0034193F" w:rsidRDefault="0034193F" w:rsidP="006E3B65">
      <w:pPr>
        <w:rPr>
          <w:sz w:val="24"/>
          <w:szCs w:val="24"/>
        </w:rPr>
      </w:pPr>
      <w:r w:rsidRPr="0034193F">
        <w:rPr>
          <w:sz w:val="24"/>
          <w:szCs w:val="24"/>
        </w:rPr>
        <w:t xml:space="preserve">Consulting is defined in </w:t>
      </w:r>
      <w:r w:rsidR="00304824">
        <w:rPr>
          <w:sz w:val="24"/>
          <w:szCs w:val="24"/>
        </w:rPr>
        <w:t xml:space="preserve">State </w:t>
      </w:r>
      <w:r w:rsidRPr="0034193F">
        <w:rPr>
          <w:sz w:val="24"/>
          <w:szCs w:val="24"/>
        </w:rPr>
        <w:t xml:space="preserve">Board </w:t>
      </w:r>
      <w:r w:rsidR="00304824">
        <w:rPr>
          <w:sz w:val="24"/>
          <w:szCs w:val="24"/>
        </w:rPr>
        <w:t>p</w:t>
      </w:r>
      <w:r w:rsidRPr="0034193F">
        <w:rPr>
          <w:sz w:val="24"/>
          <w:szCs w:val="24"/>
        </w:rPr>
        <w:t>olicy as any professional activity beyond duties assigned by the institution for which an employee receives additional personal compensation.</w:t>
      </w:r>
    </w:p>
    <w:p w14:paraId="42059677" w14:textId="77777777" w:rsidR="0034193F" w:rsidRPr="0034193F" w:rsidRDefault="0034193F" w:rsidP="0034193F">
      <w:pPr>
        <w:ind w:left="720"/>
        <w:rPr>
          <w:sz w:val="24"/>
          <w:szCs w:val="24"/>
        </w:rPr>
      </w:pPr>
    </w:p>
    <w:p w14:paraId="6B6A1949" w14:textId="25243D2D" w:rsidR="0034193F" w:rsidRPr="0034193F" w:rsidRDefault="00506426" w:rsidP="006E3B65">
      <w:pPr>
        <w:rPr>
          <w:sz w:val="24"/>
          <w:szCs w:val="24"/>
        </w:rPr>
      </w:pPr>
      <w:r>
        <w:rPr>
          <w:sz w:val="24"/>
          <w:szCs w:val="24"/>
        </w:rPr>
        <w:t>SBHE policy</w:t>
      </w:r>
      <w:r w:rsidR="0034193F" w:rsidRPr="0034193F">
        <w:rPr>
          <w:sz w:val="24"/>
          <w:szCs w:val="24"/>
        </w:rPr>
        <w:t xml:space="preserve"> states that each university, college</w:t>
      </w:r>
      <w:r>
        <w:rPr>
          <w:sz w:val="24"/>
          <w:szCs w:val="24"/>
        </w:rPr>
        <w:t>,</w:t>
      </w:r>
      <w:r w:rsidR="0034193F" w:rsidRPr="0034193F">
        <w:rPr>
          <w:sz w:val="24"/>
          <w:szCs w:val="24"/>
        </w:rPr>
        <w:t xml:space="preserve"> and other activity governed by the Board shall adopt rules governing consulting practices by faculty and staff. </w:t>
      </w:r>
      <w:r w:rsidR="00177F35">
        <w:rPr>
          <w:sz w:val="24"/>
          <w:szCs w:val="24"/>
        </w:rPr>
        <w:t>Dakota College at Bottineau (</w:t>
      </w:r>
      <w:r w:rsidR="0034193F" w:rsidRPr="0034193F">
        <w:rPr>
          <w:sz w:val="24"/>
          <w:szCs w:val="24"/>
        </w:rPr>
        <w:t>DCB</w:t>
      </w:r>
      <w:r w:rsidR="00177F35">
        <w:rPr>
          <w:sz w:val="24"/>
          <w:szCs w:val="24"/>
        </w:rPr>
        <w:t>)</w:t>
      </w:r>
      <w:r w:rsidR="0034193F" w:rsidRPr="0034193F">
        <w:rPr>
          <w:sz w:val="24"/>
          <w:szCs w:val="24"/>
        </w:rPr>
        <w:t xml:space="preserve"> recognizes its responsibility to engage in teaching, research, and public service.</w:t>
      </w:r>
      <w:r w:rsidR="00D10820">
        <w:rPr>
          <w:sz w:val="24"/>
          <w:szCs w:val="24"/>
        </w:rPr>
        <w:t xml:space="preserve"> </w:t>
      </w:r>
      <w:r w:rsidR="0034193F" w:rsidRPr="0034193F">
        <w:rPr>
          <w:sz w:val="24"/>
          <w:szCs w:val="24"/>
        </w:rPr>
        <w:t xml:space="preserve">It further recognizes that the responsibilities extend beyond the boundaries of the campus and the parameters of a normal eight-hour </w:t>
      </w:r>
      <w:r w:rsidR="00177F35" w:rsidRPr="0034193F">
        <w:rPr>
          <w:sz w:val="24"/>
          <w:szCs w:val="24"/>
        </w:rPr>
        <w:t>workday</w:t>
      </w:r>
      <w:r w:rsidR="0034193F" w:rsidRPr="0034193F">
        <w:rPr>
          <w:sz w:val="24"/>
          <w:szCs w:val="24"/>
        </w:rPr>
        <w:t xml:space="preserve"> or forty-hour </w:t>
      </w:r>
      <w:r>
        <w:rPr>
          <w:sz w:val="24"/>
          <w:szCs w:val="24"/>
        </w:rPr>
        <w:t>workweek</w:t>
      </w:r>
      <w:r w:rsidR="0034193F" w:rsidRPr="0034193F">
        <w:rPr>
          <w:sz w:val="24"/>
          <w:szCs w:val="24"/>
        </w:rPr>
        <w:t>.</w:t>
      </w:r>
      <w:r w:rsidR="00D10820">
        <w:rPr>
          <w:sz w:val="24"/>
          <w:szCs w:val="24"/>
        </w:rPr>
        <w:t xml:space="preserve"> </w:t>
      </w:r>
      <w:r w:rsidR="0034193F" w:rsidRPr="0034193F">
        <w:rPr>
          <w:sz w:val="24"/>
          <w:szCs w:val="24"/>
        </w:rPr>
        <w:t>The primary responsibility of full-time employees is to DCB.</w:t>
      </w:r>
      <w:r w:rsidR="00D10820">
        <w:rPr>
          <w:sz w:val="24"/>
          <w:szCs w:val="24"/>
        </w:rPr>
        <w:t xml:space="preserve"> </w:t>
      </w:r>
      <w:r w:rsidR="0034193F" w:rsidRPr="0034193F">
        <w:rPr>
          <w:sz w:val="24"/>
          <w:szCs w:val="24"/>
        </w:rPr>
        <w:t xml:space="preserve">Employees of DCB may be employed or engaged in consulting activities or other services outside of DCB employment if the consulting activity or service or other outside employment does not interfere with DCB job duties and does not constitute a conflict of interest. </w:t>
      </w:r>
    </w:p>
    <w:p w14:paraId="6058FF5A" w14:textId="77777777" w:rsidR="0034193F" w:rsidRPr="0034193F" w:rsidRDefault="0034193F" w:rsidP="0034193F">
      <w:pPr>
        <w:ind w:left="720"/>
        <w:rPr>
          <w:sz w:val="24"/>
          <w:szCs w:val="24"/>
        </w:rPr>
      </w:pPr>
    </w:p>
    <w:p w14:paraId="6C1412C2" w14:textId="76A3C39F" w:rsidR="0034193F" w:rsidRPr="0034193F" w:rsidRDefault="0034193F" w:rsidP="006E3B65">
      <w:pPr>
        <w:widowControl/>
        <w:numPr>
          <w:ilvl w:val="0"/>
          <w:numId w:val="21"/>
        </w:numPr>
        <w:autoSpaceDE w:val="0"/>
        <w:autoSpaceDN w:val="0"/>
        <w:adjustRightInd w:val="0"/>
        <w:ind w:left="720" w:hanging="720"/>
        <w:rPr>
          <w:sz w:val="24"/>
          <w:szCs w:val="24"/>
        </w:rPr>
      </w:pPr>
      <w:r w:rsidRPr="0034193F">
        <w:rPr>
          <w:sz w:val="24"/>
          <w:szCs w:val="24"/>
        </w:rPr>
        <w:t xml:space="preserve">Employees shall not engage in consulting practices </w:t>
      </w:r>
      <w:r w:rsidR="00506426">
        <w:rPr>
          <w:sz w:val="24"/>
          <w:szCs w:val="24"/>
        </w:rPr>
        <w:t>that</w:t>
      </w:r>
      <w:r w:rsidRPr="0034193F">
        <w:rPr>
          <w:sz w:val="24"/>
          <w:szCs w:val="24"/>
        </w:rPr>
        <w:t xml:space="preserve"> constitute a conflict of interest.</w:t>
      </w:r>
    </w:p>
    <w:p w14:paraId="592087D9" w14:textId="77777777" w:rsidR="0034193F" w:rsidRPr="0034193F" w:rsidRDefault="0034193F" w:rsidP="006E3B65">
      <w:pPr>
        <w:ind w:left="720"/>
        <w:rPr>
          <w:sz w:val="24"/>
          <w:szCs w:val="24"/>
        </w:rPr>
      </w:pPr>
    </w:p>
    <w:p w14:paraId="500874E9" w14:textId="1C26BD62" w:rsidR="0034193F" w:rsidRPr="0034193F" w:rsidRDefault="0034193F" w:rsidP="006E3B65">
      <w:pPr>
        <w:widowControl/>
        <w:numPr>
          <w:ilvl w:val="0"/>
          <w:numId w:val="21"/>
        </w:numPr>
        <w:autoSpaceDE w:val="0"/>
        <w:autoSpaceDN w:val="0"/>
        <w:adjustRightInd w:val="0"/>
        <w:ind w:left="720" w:hanging="720"/>
        <w:rPr>
          <w:sz w:val="24"/>
          <w:szCs w:val="24"/>
        </w:rPr>
      </w:pPr>
      <w:r w:rsidRPr="0034193F">
        <w:rPr>
          <w:sz w:val="24"/>
          <w:szCs w:val="24"/>
        </w:rPr>
        <w:t xml:space="preserve">Employees shall not use facilities, equipment, and support services for other than institutional purposes unless payment is made in accordance with rates charged to commercial concerns or other outside groups or </w:t>
      </w:r>
      <w:r w:rsidR="002A2302" w:rsidRPr="0034193F">
        <w:rPr>
          <w:sz w:val="24"/>
          <w:szCs w:val="24"/>
        </w:rPr>
        <w:t>people</w:t>
      </w:r>
      <w:r w:rsidRPr="0034193F">
        <w:rPr>
          <w:sz w:val="24"/>
          <w:szCs w:val="24"/>
        </w:rPr>
        <w:t>.</w:t>
      </w:r>
    </w:p>
    <w:p w14:paraId="6F79E9C1" w14:textId="77777777" w:rsidR="0034193F" w:rsidRPr="0034193F" w:rsidRDefault="0034193F" w:rsidP="006E3B65">
      <w:pPr>
        <w:ind w:left="720"/>
        <w:rPr>
          <w:sz w:val="24"/>
          <w:szCs w:val="24"/>
        </w:rPr>
      </w:pPr>
    </w:p>
    <w:p w14:paraId="33098C85" w14:textId="039494F0" w:rsidR="0034193F" w:rsidRPr="0034193F" w:rsidRDefault="0034193F" w:rsidP="006E3B65">
      <w:pPr>
        <w:widowControl/>
        <w:numPr>
          <w:ilvl w:val="0"/>
          <w:numId w:val="21"/>
        </w:numPr>
        <w:autoSpaceDE w:val="0"/>
        <w:autoSpaceDN w:val="0"/>
        <w:adjustRightInd w:val="0"/>
        <w:ind w:left="720" w:hanging="720"/>
        <w:rPr>
          <w:sz w:val="24"/>
          <w:szCs w:val="24"/>
        </w:rPr>
      </w:pPr>
      <w:r w:rsidRPr="0034193F">
        <w:rPr>
          <w:sz w:val="24"/>
          <w:szCs w:val="24"/>
        </w:rPr>
        <w:t xml:space="preserve">Employees engaging in consulting or outreach instruction shall meet with their supervisor to determine if there is a likelihood or perception the activity may interfere </w:t>
      </w:r>
      <w:r w:rsidR="00506426">
        <w:rPr>
          <w:sz w:val="24"/>
          <w:szCs w:val="24"/>
        </w:rPr>
        <w:t xml:space="preserve">with </w:t>
      </w:r>
      <w:r w:rsidRPr="0034193F">
        <w:rPr>
          <w:sz w:val="24"/>
          <w:szCs w:val="24"/>
        </w:rPr>
        <w:t xml:space="preserve">or infringe upon assigned duties and/or responsibilities or constitute a conflict of interest. </w:t>
      </w:r>
    </w:p>
    <w:p w14:paraId="1060AA74" w14:textId="77777777" w:rsidR="0034193F" w:rsidRPr="0034193F" w:rsidRDefault="0034193F" w:rsidP="006E3B65">
      <w:pPr>
        <w:ind w:left="720"/>
        <w:rPr>
          <w:sz w:val="24"/>
          <w:szCs w:val="24"/>
        </w:rPr>
      </w:pPr>
    </w:p>
    <w:p w14:paraId="6777D956" w14:textId="629DB741" w:rsidR="0034193F" w:rsidRPr="0034193F" w:rsidRDefault="0034193F" w:rsidP="006E3B65">
      <w:pPr>
        <w:widowControl/>
        <w:numPr>
          <w:ilvl w:val="0"/>
          <w:numId w:val="21"/>
        </w:numPr>
        <w:autoSpaceDE w:val="0"/>
        <w:autoSpaceDN w:val="0"/>
        <w:adjustRightInd w:val="0"/>
        <w:ind w:left="720" w:hanging="720"/>
        <w:rPr>
          <w:sz w:val="24"/>
          <w:szCs w:val="24"/>
        </w:rPr>
      </w:pPr>
      <w:r w:rsidRPr="0034193F">
        <w:rPr>
          <w:sz w:val="24"/>
          <w:szCs w:val="24"/>
        </w:rPr>
        <w:t>If employees involve students in a consulting, research, or outreach activity, authorization from the</w:t>
      </w:r>
      <w:r w:rsidR="00991AD6">
        <w:rPr>
          <w:sz w:val="24"/>
          <w:szCs w:val="24"/>
        </w:rPr>
        <w:t xml:space="preserve"> appropriate</w:t>
      </w:r>
      <w:r w:rsidRPr="0034193F">
        <w:rPr>
          <w:sz w:val="24"/>
          <w:szCs w:val="24"/>
        </w:rPr>
        <w:t xml:space="preserve"> Associate Dean or Campus Dean is required.</w:t>
      </w:r>
    </w:p>
    <w:p w14:paraId="7BD9B718" w14:textId="77777777" w:rsidR="0034193F" w:rsidRPr="0034193F" w:rsidRDefault="0034193F" w:rsidP="006E3B65">
      <w:pPr>
        <w:pStyle w:val="ListParagraph"/>
        <w:ind w:left="720"/>
        <w:rPr>
          <w:sz w:val="24"/>
          <w:szCs w:val="24"/>
        </w:rPr>
      </w:pPr>
    </w:p>
    <w:p w14:paraId="6A520169" w14:textId="578C2868" w:rsidR="0034193F" w:rsidRPr="0034193F" w:rsidRDefault="0034193F" w:rsidP="006E3B65">
      <w:pPr>
        <w:widowControl/>
        <w:numPr>
          <w:ilvl w:val="0"/>
          <w:numId w:val="21"/>
        </w:numPr>
        <w:autoSpaceDE w:val="0"/>
        <w:autoSpaceDN w:val="0"/>
        <w:adjustRightInd w:val="0"/>
        <w:ind w:left="720" w:hanging="720"/>
        <w:rPr>
          <w:sz w:val="24"/>
          <w:szCs w:val="24"/>
        </w:rPr>
      </w:pPr>
      <w:r w:rsidRPr="0034193F">
        <w:rPr>
          <w:sz w:val="24"/>
          <w:szCs w:val="24"/>
        </w:rPr>
        <w:t xml:space="preserve">Any exceptions or deviations from this policy require permission from the </w:t>
      </w:r>
      <w:r w:rsidR="00991AD6">
        <w:rPr>
          <w:sz w:val="24"/>
          <w:szCs w:val="24"/>
        </w:rPr>
        <w:t xml:space="preserve">appropriate </w:t>
      </w:r>
      <w:r w:rsidRPr="0034193F">
        <w:rPr>
          <w:sz w:val="24"/>
          <w:szCs w:val="24"/>
        </w:rPr>
        <w:t>Associate Dean in consultation with the Campus Dean.</w:t>
      </w:r>
    </w:p>
    <w:p w14:paraId="55FC2621" w14:textId="44214700" w:rsidR="0034193F" w:rsidRDefault="0034193F" w:rsidP="0034193F">
      <w:pPr>
        <w:rPr>
          <w:sz w:val="24"/>
          <w:szCs w:val="24"/>
        </w:rPr>
      </w:pPr>
    </w:p>
    <w:p w14:paraId="4BADB1BA" w14:textId="61880788" w:rsidR="00304824" w:rsidRDefault="00304824" w:rsidP="0034193F">
      <w:pPr>
        <w:rPr>
          <w:sz w:val="24"/>
          <w:szCs w:val="24"/>
        </w:rPr>
      </w:pPr>
    </w:p>
    <w:p w14:paraId="3A95D9E1" w14:textId="21D44EAD" w:rsidR="00304824" w:rsidRDefault="00304824" w:rsidP="0034193F">
      <w:pPr>
        <w:rPr>
          <w:sz w:val="24"/>
          <w:szCs w:val="24"/>
        </w:rPr>
      </w:pPr>
    </w:p>
    <w:p w14:paraId="68DB16B1" w14:textId="380267F5" w:rsidR="00304824" w:rsidRDefault="00304824" w:rsidP="0034193F">
      <w:pPr>
        <w:rPr>
          <w:sz w:val="24"/>
          <w:szCs w:val="24"/>
        </w:rPr>
      </w:pPr>
    </w:p>
    <w:p w14:paraId="4F5AEBCF" w14:textId="77777777" w:rsidR="00304824" w:rsidRPr="0034193F" w:rsidRDefault="00304824" w:rsidP="0034193F">
      <w:pPr>
        <w:rPr>
          <w:sz w:val="24"/>
          <w:szCs w:val="24"/>
        </w:rPr>
      </w:pPr>
    </w:p>
    <w:p w14:paraId="7C1F422C" w14:textId="3F44928A" w:rsidR="0034193F" w:rsidRPr="0034193F" w:rsidRDefault="0034193F" w:rsidP="006E3B65">
      <w:pPr>
        <w:widowControl/>
        <w:autoSpaceDE w:val="0"/>
        <w:autoSpaceDN w:val="0"/>
        <w:adjustRightInd w:val="0"/>
        <w:rPr>
          <w:b/>
          <w:sz w:val="24"/>
          <w:szCs w:val="24"/>
        </w:rPr>
      </w:pPr>
      <w:r w:rsidRPr="0034193F">
        <w:rPr>
          <w:b/>
          <w:sz w:val="24"/>
          <w:szCs w:val="24"/>
        </w:rPr>
        <w:lastRenderedPageBreak/>
        <w:t>Responsibilities</w:t>
      </w:r>
    </w:p>
    <w:p w14:paraId="563A9D20" w14:textId="77777777" w:rsidR="0034193F" w:rsidRPr="0034193F" w:rsidRDefault="0034193F" w:rsidP="0034193F">
      <w:pPr>
        <w:rPr>
          <w:b/>
          <w:sz w:val="24"/>
          <w:szCs w:val="24"/>
        </w:rPr>
      </w:pPr>
    </w:p>
    <w:p w14:paraId="21AABA4E" w14:textId="77777777" w:rsidR="0034193F" w:rsidRPr="006E3B65" w:rsidRDefault="0034193F" w:rsidP="006E3B65">
      <w:pPr>
        <w:widowControl/>
        <w:autoSpaceDE w:val="0"/>
        <w:autoSpaceDN w:val="0"/>
        <w:adjustRightInd w:val="0"/>
        <w:rPr>
          <w:bCs/>
          <w:sz w:val="24"/>
          <w:szCs w:val="24"/>
        </w:rPr>
      </w:pPr>
      <w:r w:rsidRPr="006E3B65">
        <w:rPr>
          <w:bCs/>
          <w:sz w:val="24"/>
          <w:szCs w:val="24"/>
        </w:rPr>
        <w:t>Individual Employee</w:t>
      </w:r>
    </w:p>
    <w:p w14:paraId="2DBA0878" w14:textId="243567D3" w:rsidR="0034193F" w:rsidRPr="0034193F" w:rsidRDefault="0034193F" w:rsidP="006E3B65">
      <w:pPr>
        <w:widowControl/>
        <w:numPr>
          <w:ilvl w:val="0"/>
          <w:numId w:val="23"/>
        </w:numPr>
        <w:autoSpaceDE w:val="0"/>
        <w:autoSpaceDN w:val="0"/>
        <w:adjustRightInd w:val="0"/>
        <w:ind w:left="720"/>
        <w:rPr>
          <w:sz w:val="24"/>
          <w:szCs w:val="24"/>
        </w:rPr>
      </w:pPr>
      <w:r w:rsidRPr="0034193F">
        <w:rPr>
          <w:sz w:val="24"/>
          <w:szCs w:val="24"/>
        </w:rPr>
        <w:t xml:space="preserve">Obtain prior approval, completing </w:t>
      </w:r>
      <w:r w:rsidR="00812183">
        <w:rPr>
          <w:sz w:val="24"/>
          <w:szCs w:val="24"/>
        </w:rPr>
        <w:t>Notification of Business Interest</w:t>
      </w:r>
      <w:r w:rsidRPr="0034193F">
        <w:rPr>
          <w:sz w:val="24"/>
          <w:szCs w:val="24"/>
        </w:rPr>
        <w:t xml:space="preserve"> </w:t>
      </w:r>
      <w:r w:rsidR="00506426">
        <w:rPr>
          <w:sz w:val="24"/>
          <w:szCs w:val="24"/>
        </w:rPr>
        <w:t>before</w:t>
      </w:r>
      <w:r w:rsidRPr="0034193F">
        <w:rPr>
          <w:sz w:val="24"/>
          <w:szCs w:val="24"/>
        </w:rPr>
        <w:t xml:space="preserve"> initiation of proposed consulting activity.</w:t>
      </w:r>
    </w:p>
    <w:p w14:paraId="54E3BE08" w14:textId="77777777" w:rsidR="0034193F" w:rsidRPr="0034193F" w:rsidRDefault="0034193F" w:rsidP="006E3B65">
      <w:pPr>
        <w:widowControl/>
        <w:numPr>
          <w:ilvl w:val="0"/>
          <w:numId w:val="23"/>
        </w:numPr>
        <w:autoSpaceDE w:val="0"/>
        <w:autoSpaceDN w:val="0"/>
        <w:adjustRightInd w:val="0"/>
        <w:ind w:left="720"/>
        <w:rPr>
          <w:sz w:val="24"/>
          <w:szCs w:val="24"/>
        </w:rPr>
      </w:pPr>
      <w:r w:rsidRPr="0034193F">
        <w:rPr>
          <w:sz w:val="24"/>
          <w:szCs w:val="24"/>
        </w:rPr>
        <w:t>Ensure that activity does not conflict with primary responsibilities.</w:t>
      </w:r>
    </w:p>
    <w:p w14:paraId="3FFE1BF6" w14:textId="279DA08D" w:rsidR="0034193F" w:rsidRPr="0034193F" w:rsidRDefault="0034193F" w:rsidP="006E3B65">
      <w:pPr>
        <w:widowControl/>
        <w:numPr>
          <w:ilvl w:val="0"/>
          <w:numId w:val="23"/>
        </w:numPr>
        <w:autoSpaceDE w:val="0"/>
        <w:autoSpaceDN w:val="0"/>
        <w:adjustRightInd w:val="0"/>
        <w:ind w:left="720"/>
        <w:rPr>
          <w:sz w:val="24"/>
          <w:szCs w:val="24"/>
        </w:rPr>
      </w:pPr>
      <w:r w:rsidRPr="0034193F">
        <w:rPr>
          <w:sz w:val="24"/>
          <w:szCs w:val="24"/>
        </w:rPr>
        <w:t xml:space="preserve">Ensure that </w:t>
      </w:r>
      <w:r w:rsidR="00506426">
        <w:rPr>
          <w:sz w:val="24"/>
          <w:szCs w:val="24"/>
        </w:rPr>
        <w:t xml:space="preserve">the </w:t>
      </w:r>
      <w:r w:rsidRPr="0034193F">
        <w:rPr>
          <w:sz w:val="24"/>
          <w:szCs w:val="24"/>
        </w:rPr>
        <w:t xml:space="preserve">activity does not pose an actual or potential </w:t>
      </w:r>
      <w:r w:rsidR="00506426">
        <w:rPr>
          <w:sz w:val="24"/>
          <w:szCs w:val="24"/>
        </w:rPr>
        <w:t>conflict of interest</w:t>
      </w:r>
      <w:r w:rsidRPr="0034193F">
        <w:rPr>
          <w:sz w:val="24"/>
          <w:szCs w:val="24"/>
        </w:rPr>
        <w:t>.</w:t>
      </w:r>
    </w:p>
    <w:p w14:paraId="12838B28" w14:textId="77777777" w:rsidR="0034193F" w:rsidRPr="0034193F" w:rsidRDefault="0034193F" w:rsidP="006E3B65">
      <w:pPr>
        <w:widowControl/>
        <w:numPr>
          <w:ilvl w:val="0"/>
          <w:numId w:val="23"/>
        </w:numPr>
        <w:autoSpaceDE w:val="0"/>
        <w:autoSpaceDN w:val="0"/>
        <w:adjustRightInd w:val="0"/>
        <w:ind w:left="720"/>
        <w:rPr>
          <w:sz w:val="24"/>
          <w:szCs w:val="24"/>
        </w:rPr>
      </w:pPr>
      <w:r w:rsidRPr="0034193F">
        <w:rPr>
          <w:sz w:val="24"/>
          <w:szCs w:val="24"/>
        </w:rPr>
        <w:t>Maintain appropriate records of consulting activities.</w:t>
      </w:r>
    </w:p>
    <w:p w14:paraId="5B7E2864" w14:textId="1B3E665A" w:rsidR="0034193F" w:rsidRPr="0034193F" w:rsidRDefault="0034193F" w:rsidP="006E3B65">
      <w:pPr>
        <w:widowControl/>
        <w:numPr>
          <w:ilvl w:val="0"/>
          <w:numId w:val="23"/>
        </w:numPr>
        <w:autoSpaceDE w:val="0"/>
        <w:autoSpaceDN w:val="0"/>
        <w:adjustRightInd w:val="0"/>
        <w:ind w:left="720"/>
        <w:rPr>
          <w:sz w:val="24"/>
          <w:szCs w:val="24"/>
        </w:rPr>
      </w:pPr>
      <w:r w:rsidRPr="0034193F">
        <w:rPr>
          <w:sz w:val="24"/>
          <w:szCs w:val="24"/>
        </w:rPr>
        <w:t xml:space="preserve">Do not use </w:t>
      </w:r>
      <w:r w:rsidR="009E2D35">
        <w:rPr>
          <w:sz w:val="24"/>
          <w:szCs w:val="24"/>
        </w:rPr>
        <w:t>DCB</w:t>
      </w:r>
      <w:r w:rsidRPr="0034193F">
        <w:rPr>
          <w:sz w:val="24"/>
          <w:szCs w:val="24"/>
        </w:rPr>
        <w:t xml:space="preserve"> endorsement without consent from </w:t>
      </w:r>
      <w:r w:rsidR="009E2D35">
        <w:rPr>
          <w:sz w:val="24"/>
          <w:szCs w:val="24"/>
        </w:rPr>
        <w:t>DCB</w:t>
      </w:r>
    </w:p>
    <w:p w14:paraId="11E05A46" w14:textId="54B29293" w:rsidR="0034193F" w:rsidRPr="0034193F" w:rsidRDefault="0034193F" w:rsidP="006E3B65">
      <w:pPr>
        <w:widowControl/>
        <w:numPr>
          <w:ilvl w:val="0"/>
          <w:numId w:val="23"/>
        </w:numPr>
        <w:autoSpaceDE w:val="0"/>
        <w:autoSpaceDN w:val="0"/>
        <w:adjustRightInd w:val="0"/>
        <w:ind w:left="720"/>
        <w:rPr>
          <w:sz w:val="24"/>
          <w:szCs w:val="24"/>
        </w:rPr>
      </w:pPr>
      <w:r w:rsidRPr="0034193F">
        <w:rPr>
          <w:sz w:val="24"/>
          <w:szCs w:val="24"/>
        </w:rPr>
        <w:t xml:space="preserve">Secure advance approval to use </w:t>
      </w:r>
      <w:r w:rsidR="009E2D35">
        <w:rPr>
          <w:sz w:val="24"/>
          <w:szCs w:val="24"/>
        </w:rPr>
        <w:t xml:space="preserve">DCB </w:t>
      </w:r>
      <w:r w:rsidRPr="0034193F">
        <w:rPr>
          <w:sz w:val="24"/>
          <w:szCs w:val="24"/>
        </w:rPr>
        <w:t>equipment and make any necessary payments.</w:t>
      </w:r>
    </w:p>
    <w:p w14:paraId="66F3F004" w14:textId="77777777" w:rsidR="0034193F" w:rsidRPr="006E3B65" w:rsidRDefault="0034193F" w:rsidP="006E3B65">
      <w:pPr>
        <w:ind w:left="720"/>
        <w:rPr>
          <w:sz w:val="24"/>
          <w:szCs w:val="24"/>
        </w:rPr>
      </w:pPr>
    </w:p>
    <w:p w14:paraId="374BB952" w14:textId="38B080F6" w:rsidR="0034193F" w:rsidRPr="006E3B65" w:rsidRDefault="0034193F" w:rsidP="006E3B65">
      <w:pPr>
        <w:rPr>
          <w:sz w:val="24"/>
          <w:szCs w:val="24"/>
        </w:rPr>
      </w:pPr>
      <w:r w:rsidRPr="006E3B65">
        <w:rPr>
          <w:sz w:val="24"/>
          <w:szCs w:val="24"/>
        </w:rPr>
        <w:t xml:space="preserve">Associate Dean </w:t>
      </w:r>
    </w:p>
    <w:p w14:paraId="6F115FE5" w14:textId="6D70D5E3" w:rsidR="0034193F" w:rsidRPr="006E3B65" w:rsidRDefault="002A2302" w:rsidP="006E3B65">
      <w:pPr>
        <w:widowControl/>
        <w:numPr>
          <w:ilvl w:val="0"/>
          <w:numId w:val="24"/>
        </w:numPr>
        <w:autoSpaceDE w:val="0"/>
        <w:autoSpaceDN w:val="0"/>
        <w:adjustRightInd w:val="0"/>
        <w:ind w:left="720"/>
        <w:rPr>
          <w:sz w:val="24"/>
          <w:szCs w:val="24"/>
        </w:rPr>
      </w:pPr>
      <w:proofErr w:type="gramStart"/>
      <w:r w:rsidRPr="006E3B65">
        <w:rPr>
          <w:sz w:val="24"/>
          <w:szCs w:val="24"/>
        </w:rPr>
        <w:t>Evaluat</w:t>
      </w:r>
      <w:r>
        <w:rPr>
          <w:sz w:val="24"/>
          <w:szCs w:val="24"/>
        </w:rPr>
        <w:t>e</w:t>
      </w:r>
      <w:proofErr w:type="gramEnd"/>
      <w:r w:rsidR="0034193F" w:rsidRPr="006E3B65">
        <w:rPr>
          <w:sz w:val="24"/>
          <w:szCs w:val="24"/>
        </w:rPr>
        <w:t xml:space="preserve"> </w:t>
      </w:r>
      <w:r w:rsidR="009E2D35">
        <w:rPr>
          <w:sz w:val="24"/>
          <w:szCs w:val="24"/>
        </w:rPr>
        <w:t>Notification of Business Interest requests</w:t>
      </w:r>
    </w:p>
    <w:p w14:paraId="0898BD9F" w14:textId="77777777" w:rsidR="0034193F" w:rsidRPr="006E3B65" w:rsidRDefault="0034193F" w:rsidP="006E3B65">
      <w:pPr>
        <w:widowControl/>
        <w:numPr>
          <w:ilvl w:val="0"/>
          <w:numId w:val="24"/>
        </w:numPr>
        <w:autoSpaceDE w:val="0"/>
        <w:autoSpaceDN w:val="0"/>
        <w:adjustRightInd w:val="0"/>
        <w:ind w:left="720"/>
        <w:rPr>
          <w:sz w:val="24"/>
          <w:szCs w:val="24"/>
        </w:rPr>
      </w:pPr>
      <w:r w:rsidRPr="006E3B65">
        <w:rPr>
          <w:sz w:val="24"/>
          <w:szCs w:val="24"/>
        </w:rPr>
        <w:t>Identify and resolve any actual or potential conflicts of interest.</w:t>
      </w:r>
    </w:p>
    <w:p w14:paraId="66AF1FC0" w14:textId="6524FFDC" w:rsidR="0034193F" w:rsidRPr="006E3B65" w:rsidRDefault="0034193F" w:rsidP="006E3B65">
      <w:pPr>
        <w:widowControl/>
        <w:numPr>
          <w:ilvl w:val="0"/>
          <w:numId w:val="24"/>
        </w:numPr>
        <w:autoSpaceDE w:val="0"/>
        <w:autoSpaceDN w:val="0"/>
        <w:adjustRightInd w:val="0"/>
        <w:ind w:left="720"/>
        <w:rPr>
          <w:sz w:val="24"/>
          <w:szCs w:val="24"/>
        </w:rPr>
      </w:pPr>
      <w:r w:rsidRPr="006E3B65">
        <w:rPr>
          <w:sz w:val="24"/>
          <w:szCs w:val="24"/>
        </w:rPr>
        <w:t xml:space="preserve">Review requests to determine that they meet </w:t>
      </w:r>
      <w:r w:rsidR="00506426">
        <w:rPr>
          <w:sz w:val="24"/>
          <w:szCs w:val="24"/>
        </w:rPr>
        <w:t xml:space="preserve">the </w:t>
      </w:r>
      <w:r w:rsidRPr="006E3B65">
        <w:rPr>
          <w:sz w:val="24"/>
          <w:szCs w:val="24"/>
        </w:rPr>
        <w:t xml:space="preserve">policies of </w:t>
      </w:r>
      <w:r w:rsidR="009E2D35">
        <w:rPr>
          <w:sz w:val="24"/>
          <w:szCs w:val="24"/>
        </w:rPr>
        <w:t>DCB</w:t>
      </w:r>
      <w:r w:rsidRPr="006E3B65">
        <w:rPr>
          <w:sz w:val="24"/>
          <w:szCs w:val="24"/>
        </w:rPr>
        <w:t>.</w:t>
      </w:r>
    </w:p>
    <w:p w14:paraId="67620248" w14:textId="48097620" w:rsidR="0034193F" w:rsidRPr="006E3B65" w:rsidRDefault="0034193F" w:rsidP="006E3B65">
      <w:pPr>
        <w:widowControl/>
        <w:numPr>
          <w:ilvl w:val="0"/>
          <w:numId w:val="24"/>
        </w:numPr>
        <w:autoSpaceDE w:val="0"/>
        <w:autoSpaceDN w:val="0"/>
        <w:adjustRightInd w:val="0"/>
        <w:ind w:left="720"/>
        <w:rPr>
          <w:sz w:val="24"/>
          <w:szCs w:val="24"/>
        </w:rPr>
      </w:pPr>
      <w:r w:rsidRPr="006E3B65">
        <w:rPr>
          <w:sz w:val="24"/>
          <w:szCs w:val="24"/>
        </w:rPr>
        <w:t xml:space="preserve">Forward </w:t>
      </w:r>
      <w:r w:rsidR="00506426">
        <w:rPr>
          <w:sz w:val="24"/>
          <w:szCs w:val="24"/>
        </w:rPr>
        <w:t>recommendations</w:t>
      </w:r>
      <w:r w:rsidRPr="006E3B65">
        <w:rPr>
          <w:sz w:val="24"/>
          <w:szCs w:val="24"/>
        </w:rPr>
        <w:t xml:space="preserve"> to the Campus Dean as appropriate.</w:t>
      </w:r>
    </w:p>
    <w:p w14:paraId="35FE75D3" w14:textId="77777777" w:rsidR="0034193F" w:rsidRPr="006E3B65" w:rsidRDefault="0034193F" w:rsidP="006E3B65">
      <w:pPr>
        <w:widowControl/>
        <w:numPr>
          <w:ilvl w:val="0"/>
          <w:numId w:val="24"/>
        </w:numPr>
        <w:autoSpaceDE w:val="0"/>
        <w:autoSpaceDN w:val="0"/>
        <w:adjustRightInd w:val="0"/>
        <w:ind w:left="720"/>
        <w:rPr>
          <w:sz w:val="24"/>
          <w:szCs w:val="24"/>
        </w:rPr>
      </w:pPr>
      <w:r w:rsidRPr="006E3B65">
        <w:rPr>
          <w:sz w:val="24"/>
          <w:szCs w:val="24"/>
        </w:rPr>
        <w:t>Ensure activities are reviewed annually.</w:t>
      </w:r>
    </w:p>
    <w:p w14:paraId="33A6D8CD" w14:textId="77777777" w:rsidR="006E3B65" w:rsidRPr="006E3B65" w:rsidRDefault="006E3B65" w:rsidP="006E3B65">
      <w:pPr>
        <w:widowControl/>
        <w:autoSpaceDE w:val="0"/>
        <w:autoSpaceDN w:val="0"/>
        <w:adjustRightInd w:val="0"/>
        <w:rPr>
          <w:sz w:val="24"/>
          <w:szCs w:val="24"/>
        </w:rPr>
      </w:pPr>
    </w:p>
    <w:p w14:paraId="1DAA2652" w14:textId="6DD230CB" w:rsidR="0034193F" w:rsidRPr="006E3B65" w:rsidRDefault="0034193F" w:rsidP="006E3B65">
      <w:pPr>
        <w:widowControl/>
        <w:autoSpaceDE w:val="0"/>
        <w:autoSpaceDN w:val="0"/>
        <w:adjustRightInd w:val="0"/>
        <w:rPr>
          <w:sz w:val="24"/>
          <w:szCs w:val="24"/>
        </w:rPr>
      </w:pPr>
      <w:r w:rsidRPr="006E3B65">
        <w:rPr>
          <w:sz w:val="24"/>
          <w:szCs w:val="24"/>
        </w:rPr>
        <w:t>Campus Dean</w:t>
      </w:r>
    </w:p>
    <w:p w14:paraId="238CEA23" w14:textId="257173D1" w:rsidR="0034193F" w:rsidRPr="006E3B65" w:rsidRDefault="0034193F" w:rsidP="006E3B65">
      <w:pPr>
        <w:widowControl/>
        <w:numPr>
          <w:ilvl w:val="0"/>
          <w:numId w:val="25"/>
        </w:numPr>
        <w:autoSpaceDE w:val="0"/>
        <w:autoSpaceDN w:val="0"/>
        <w:adjustRightInd w:val="0"/>
        <w:ind w:left="720"/>
        <w:rPr>
          <w:sz w:val="24"/>
          <w:szCs w:val="24"/>
        </w:rPr>
      </w:pPr>
      <w:r w:rsidRPr="006E3B65">
        <w:rPr>
          <w:sz w:val="24"/>
          <w:szCs w:val="24"/>
        </w:rPr>
        <w:t xml:space="preserve">Review </w:t>
      </w:r>
      <w:r w:rsidR="00506426">
        <w:rPr>
          <w:sz w:val="24"/>
          <w:szCs w:val="24"/>
        </w:rPr>
        <w:t>recommendations</w:t>
      </w:r>
      <w:r w:rsidRPr="006E3B65">
        <w:rPr>
          <w:sz w:val="24"/>
          <w:szCs w:val="24"/>
        </w:rPr>
        <w:t xml:space="preserve"> from </w:t>
      </w:r>
      <w:r w:rsidR="009E2D35">
        <w:rPr>
          <w:sz w:val="24"/>
          <w:szCs w:val="24"/>
        </w:rPr>
        <w:t xml:space="preserve">appropriate </w:t>
      </w:r>
      <w:r w:rsidRPr="006E3B65">
        <w:rPr>
          <w:sz w:val="24"/>
          <w:szCs w:val="24"/>
        </w:rPr>
        <w:t xml:space="preserve">Associate Dean </w:t>
      </w:r>
    </w:p>
    <w:p w14:paraId="6FFF0C17" w14:textId="77777777" w:rsidR="0034193F" w:rsidRPr="006E3B65" w:rsidRDefault="0034193F" w:rsidP="006E3B65">
      <w:pPr>
        <w:widowControl/>
        <w:numPr>
          <w:ilvl w:val="0"/>
          <w:numId w:val="25"/>
        </w:numPr>
        <w:autoSpaceDE w:val="0"/>
        <w:autoSpaceDN w:val="0"/>
        <w:adjustRightInd w:val="0"/>
        <w:ind w:left="720"/>
        <w:rPr>
          <w:sz w:val="24"/>
          <w:szCs w:val="24"/>
        </w:rPr>
      </w:pPr>
      <w:r w:rsidRPr="006E3B65">
        <w:rPr>
          <w:sz w:val="24"/>
          <w:szCs w:val="24"/>
        </w:rPr>
        <w:t>Review any special circumstances.</w:t>
      </w:r>
    </w:p>
    <w:p w14:paraId="267FC438" w14:textId="3300C1AF" w:rsidR="0034193F" w:rsidRPr="006E3B65" w:rsidRDefault="0034193F" w:rsidP="006E3B65">
      <w:pPr>
        <w:widowControl/>
        <w:numPr>
          <w:ilvl w:val="0"/>
          <w:numId w:val="25"/>
        </w:numPr>
        <w:autoSpaceDE w:val="0"/>
        <w:autoSpaceDN w:val="0"/>
        <w:adjustRightInd w:val="0"/>
        <w:ind w:left="720"/>
        <w:rPr>
          <w:sz w:val="24"/>
          <w:szCs w:val="24"/>
        </w:rPr>
      </w:pPr>
      <w:r w:rsidRPr="006E3B65">
        <w:rPr>
          <w:sz w:val="24"/>
          <w:szCs w:val="24"/>
        </w:rPr>
        <w:t xml:space="preserve">Forward recommendation to the </w:t>
      </w:r>
      <w:r w:rsidR="009E2D35">
        <w:rPr>
          <w:sz w:val="24"/>
          <w:szCs w:val="24"/>
        </w:rPr>
        <w:t xml:space="preserve">appropriate </w:t>
      </w:r>
      <w:r w:rsidRPr="006E3B65">
        <w:rPr>
          <w:sz w:val="24"/>
          <w:szCs w:val="24"/>
        </w:rPr>
        <w:t xml:space="preserve">Associate Dean for final </w:t>
      </w:r>
      <w:r w:rsidR="009E2D35">
        <w:rPr>
          <w:sz w:val="24"/>
          <w:szCs w:val="24"/>
        </w:rPr>
        <w:t>decision</w:t>
      </w:r>
      <w:r w:rsidRPr="006E3B65">
        <w:rPr>
          <w:sz w:val="24"/>
          <w:szCs w:val="24"/>
        </w:rPr>
        <w:t>.</w:t>
      </w:r>
    </w:p>
    <w:bookmarkEnd w:id="0"/>
    <w:p w14:paraId="0E97678C" w14:textId="77777777" w:rsidR="0034193F" w:rsidRPr="0034193F" w:rsidRDefault="0034193F" w:rsidP="006E3B65">
      <w:pPr>
        <w:ind w:left="720"/>
        <w:rPr>
          <w:sz w:val="24"/>
          <w:szCs w:val="24"/>
        </w:rPr>
      </w:pPr>
    </w:p>
    <w:p w14:paraId="6B8A0DFE" w14:textId="79FF27CE" w:rsidR="0034193F" w:rsidRPr="0034193F" w:rsidRDefault="0034193F" w:rsidP="006E3B65">
      <w:pPr>
        <w:pStyle w:val="Header4"/>
        <w:ind w:left="720"/>
      </w:pPr>
    </w:p>
    <w:sectPr w:rsidR="0034193F" w:rsidRPr="0034193F" w:rsidSect="00B108A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00" w:right="1200" w:bottom="1540" w:left="1320" w:header="720" w:footer="13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52A87" w14:textId="77777777" w:rsidR="001155FB" w:rsidRDefault="003D6544">
      <w:r>
        <w:separator/>
      </w:r>
    </w:p>
  </w:endnote>
  <w:endnote w:type="continuationSeparator" w:id="0">
    <w:p w14:paraId="2E8CF5FF" w14:textId="77777777" w:rsidR="001155FB" w:rsidRDefault="003D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Corbel"/>
    <w:panose1 w:val="00000000000000000000"/>
    <w:charset w:val="00"/>
    <w:family w:val="modern"/>
    <w:notTrueType/>
    <w:pitch w:val="variable"/>
    <w:sig w:usb0="800002E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4CC5" w14:textId="77777777" w:rsidR="000C4655" w:rsidRDefault="000C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B156" w14:textId="7456C923" w:rsidR="00875162" w:rsidRPr="00875162" w:rsidRDefault="00875162">
    <w:pPr>
      <w:pStyle w:val="Footer"/>
      <w:jc w:val="center"/>
    </w:pPr>
    <w:r>
      <w:tab/>
    </w:r>
    <w:r w:rsidRPr="00875162">
      <w:t xml:space="preserve">Page </w:t>
    </w:r>
    <w:r w:rsidRPr="00875162">
      <w:fldChar w:fldCharType="begin"/>
    </w:r>
    <w:r w:rsidRPr="00875162">
      <w:instrText xml:space="preserve"> PAGE  \* Arabic  \* MERGEFORMAT </w:instrText>
    </w:r>
    <w:r w:rsidRPr="00875162">
      <w:fldChar w:fldCharType="separate"/>
    </w:r>
    <w:r w:rsidRPr="00875162">
      <w:rPr>
        <w:noProof/>
      </w:rPr>
      <w:t>2</w:t>
    </w:r>
    <w:r w:rsidRPr="00875162">
      <w:fldChar w:fldCharType="end"/>
    </w:r>
    <w:r w:rsidRPr="00875162">
      <w:t xml:space="preserve"> of </w:t>
    </w:r>
    <w:fldSimple w:instr=" NUMPAGES  \* Arabic  \* MERGEFORMAT ">
      <w:r w:rsidRPr="00875162">
        <w:rPr>
          <w:noProof/>
        </w:rPr>
        <w:t>2</w:t>
      </w:r>
    </w:fldSimple>
    <w:r>
      <w:tab/>
    </w:r>
    <w:r w:rsidR="000C4655">
      <w:t>DCB.611</w:t>
    </w:r>
  </w:p>
  <w:p w14:paraId="5EDEC4FB" w14:textId="77777777" w:rsidR="00875162" w:rsidRDefault="00875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0530" w14:textId="77777777" w:rsidR="000C4655" w:rsidRDefault="000C4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A65A9" w14:textId="77777777" w:rsidR="001155FB" w:rsidRDefault="003D6544">
      <w:r>
        <w:separator/>
      </w:r>
    </w:p>
  </w:footnote>
  <w:footnote w:type="continuationSeparator" w:id="0">
    <w:p w14:paraId="596C43E2" w14:textId="77777777" w:rsidR="001155FB" w:rsidRDefault="003D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2EB3" w14:textId="77777777" w:rsidR="000C4655" w:rsidRDefault="000C4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FA87" w14:textId="2830F8E8" w:rsidR="0089200A" w:rsidRDefault="0089200A">
    <w:pPr>
      <w:pStyle w:val="Header"/>
    </w:pPr>
    <w:r>
      <w:rPr>
        <w:noProof/>
        <w:sz w:val="20"/>
      </w:rPr>
      <w:drawing>
        <wp:inline distT="0" distB="0" distL="0" distR="0" wp14:anchorId="54F04648" wp14:editId="20C50CC1">
          <wp:extent cx="2026593" cy="6522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26593" cy="652272"/>
                  </a:xfrm>
                  <a:prstGeom prst="rect">
                    <a:avLst/>
                  </a:prstGeom>
                </pic:spPr>
              </pic:pic>
            </a:graphicData>
          </a:graphic>
        </wp:inline>
      </w:drawing>
    </w:r>
  </w:p>
  <w:p w14:paraId="79C9B093" w14:textId="7960BC5E" w:rsidR="0089200A" w:rsidRPr="0089200A" w:rsidRDefault="0089200A" w:rsidP="0089200A">
    <w:pPr>
      <w:spacing w:line="317" w:lineRule="exact"/>
      <w:ind w:right="616"/>
      <w:rPr>
        <w:rFonts w:ascii="Helvetica Neue"/>
        <w:sz w:val="28"/>
      </w:rPr>
    </w:pPr>
    <w:r>
      <w:rPr>
        <w:rFonts w:ascii="Helvetica Neue"/>
        <w:sz w:val="2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AD53" w14:textId="77777777" w:rsidR="000C4655" w:rsidRDefault="000C4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7D4"/>
    <w:multiLevelType w:val="singleLevel"/>
    <w:tmpl w:val="5DA4B70E"/>
    <w:lvl w:ilvl="0">
      <w:start w:val="1"/>
      <w:numFmt w:val="upperLetter"/>
      <w:lvlText w:val="%1."/>
      <w:lvlJc w:val="left"/>
      <w:pPr>
        <w:tabs>
          <w:tab w:val="num" w:pos="1080"/>
        </w:tabs>
        <w:ind w:left="1080" w:hanging="360"/>
      </w:pPr>
      <w:rPr>
        <w:rFonts w:hint="default"/>
      </w:rPr>
    </w:lvl>
  </w:abstractNum>
  <w:abstractNum w:abstractNumId="1" w15:restartNumberingAfterBreak="0">
    <w:nsid w:val="07EF1652"/>
    <w:multiLevelType w:val="singleLevel"/>
    <w:tmpl w:val="02C213F6"/>
    <w:lvl w:ilvl="0">
      <w:start w:val="1"/>
      <w:numFmt w:val="lowerRoman"/>
      <w:lvlText w:val="%1."/>
      <w:lvlJc w:val="left"/>
      <w:pPr>
        <w:tabs>
          <w:tab w:val="num" w:pos="1440"/>
        </w:tabs>
        <w:ind w:left="1440" w:hanging="720"/>
      </w:pPr>
      <w:rPr>
        <w:rFonts w:hint="default"/>
      </w:rPr>
    </w:lvl>
  </w:abstractNum>
  <w:abstractNum w:abstractNumId="2" w15:restartNumberingAfterBreak="0">
    <w:nsid w:val="0D883A67"/>
    <w:multiLevelType w:val="hybridMultilevel"/>
    <w:tmpl w:val="9BB883D4"/>
    <w:lvl w:ilvl="0" w:tplc="04090001">
      <w:start w:val="1"/>
      <w:numFmt w:val="bullet"/>
      <w:lvlText w:val=""/>
      <w:lvlJc w:val="left"/>
      <w:pPr>
        <w:ind w:left="1800" w:hanging="360"/>
      </w:pPr>
      <w:rPr>
        <w:rFonts w:ascii="Symbol" w:hAnsi="Symbo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43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014069"/>
    <w:multiLevelType w:val="singleLevel"/>
    <w:tmpl w:val="5C3CE644"/>
    <w:lvl w:ilvl="0">
      <w:start w:val="1"/>
      <w:numFmt w:val="lowerLetter"/>
      <w:lvlText w:val="%1."/>
      <w:lvlJc w:val="left"/>
      <w:pPr>
        <w:tabs>
          <w:tab w:val="num" w:pos="1440"/>
        </w:tabs>
        <w:ind w:left="1440" w:hanging="360"/>
      </w:pPr>
      <w:rPr>
        <w:rFonts w:hint="default"/>
      </w:rPr>
    </w:lvl>
  </w:abstractNum>
  <w:abstractNum w:abstractNumId="5" w15:restartNumberingAfterBreak="0">
    <w:nsid w:val="1C784E9E"/>
    <w:multiLevelType w:val="singleLevel"/>
    <w:tmpl w:val="A72CB630"/>
    <w:lvl w:ilvl="0">
      <w:start w:val="1"/>
      <w:numFmt w:val="upperLetter"/>
      <w:lvlText w:val="%1."/>
      <w:lvlJc w:val="left"/>
      <w:pPr>
        <w:tabs>
          <w:tab w:val="num" w:pos="1080"/>
        </w:tabs>
        <w:ind w:left="1080" w:hanging="360"/>
      </w:pPr>
      <w:rPr>
        <w:rFonts w:hint="default"/>
      </w:rPr>
    </w:lvl>
  </w:abstractNum>
  <w:abstractNum w:abstractNumId="6" w15:restartNumberingAfterBreak="0">
    <w:nsid w:val="1E6D6D47"/>
    <w:multiLevelType w:val="hybridMultilevel"/>
    <w:tmpl w:val="D79ACFD8"/>
    <w:lvl w:ilvl="0" w:tplc="26503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905B3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8297087"/>
    <w:multiLevelType w:val="multilevel"/>
    <w:tmpl w:val="6C4AC916"/>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C7D459D"/>
    <w:multiLevelType w:val="hybridMultilevel"/>
    <w:tmpl w:val="691CBA90"/>
    <w:lvl w:ilvl="0" w:tplc="C3CE5A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C4C80"/>
    <w:multiLevelType w:val="multilevel"/>
    <w:tmpl w:val="A1385312"/>
    <w:lvl w:ilvl="0">
      <w:start w:val="3"/>
      <w:numFmt w:val="decimal"/>
      <w:lvlText w:val="%1"/>
      <w:lvlJc w:val="left"/>
      <w:pPr>
        <w:ind w:left="480" w:hanging="480"/>
      </w:pPr>
      <w:rPr>
        <w:rFonts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4F6B1B"/>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43D92CAD"/>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48FA6D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404E69"/>
    <w:multiLevelType w:val="hybridMultilevel"/>
    <w:tmpl w:val="8AAA2B20"/>
    <w:lvl w:ilvl="0" w:tplc="C1B00196">
      <w:start w:val="1"/>
      <w:numFmt w:val="lowerLetter"/>
      <w:lvlText w:val="%1."/>
      <w:lvlJc w:val="left"/>
      <w:pPr>
        <w:ind w:left="739" w:hanging="629"/>
      </w:pPr>
      <w:rPr>
        <w:rFonts w:ascii="Times New Roman" w:eastAsia="Times New Roman" w:hAnsi="Times New Roman" w:cs="Times New Roman" w:hint="default"/>
        <w:b/>
        <w:bCs/>
        <w:spacing w:val="-2"/>
        <w:w w:val="99"/>
        <w:sz w:val="24"/>
        <w:szCs w:val="24"/>
      </w:rPr>
    </w:lvl>
    <w:lvl w:ilvl="1" w:tplc="2A1AA5A0">
      <w:start w:val="1"/>
      <w:numFmt w:val="bullet"/>
      <w:lvlText w:val="•"/>
      <w:lvlJc w:val="left"/>
      <w:pPr>
        <w:ind w:left="1638" w:hanging="629"/>
      </w:pPr>
      <w:rPr>
        <w:rFonts w:hint="default"/>
      </w:rPr>
    </w:lvl>
    <w:lvl w:ilvl="2" w:tplc="746CB98A">
      <w:start w:val="1"/>
      <w:numFmt w:val="bullet"/>
      <w:lvlText w:val="•"/>
      <w:lvlJc w:val="left"/>
      <w:pPr>
        <w:ind w:left="2536" w:hanging="629"/>
      </w:pPr>
      <w:rPr>
        <w:rFonts w:hint="default"/>
      </w:rPr>
    </w:lvl>
    <w:lvl w:ilvl="3" w:tplc="9CF2902C">
      <w:start w:val="1"/>
      <w:numFmt w:val="bullet"/>
      <w:lvlText w:val="•"/>
      <w:lvlJc w:val="left"/>
      <w:pPr>
        <w:ind w:left="3434" w:hanging="629"/>
      </w:pPr>
      <w:rPr>
        <w:rFonts w:hint="default"/>
      </w:rPr>
    </w:lvl>
    <w:lvl w:ilvl="4" w:tplc="64A4703E">
      <w:start w:val="1"/>
      <w:numFmt w:val="bullet"/>
      <w:lvlText w:val="•"/>
      <w:lvlJc w:val="left"/>
      <w:pPr>
        <w:ind w:left="4332" w:hanging="629"/>
      </w:pPr>
      <w:rPr>
        <w:rFonts w:hint="default"/>
      </w:rPr>
    </w:lvl>
    <w:lvl w:ilvl="5" w:tplc="93BAB19A">
      <w:start w:val="1"/>
      <w:numFmt w:val="bullet"/>
      <w:lvlText w:val="•"/>
      <w:lvlJc w:val="left"/>
      <w:pPr>
        <w:ind w:left="5230" w:hanging="629"/>
      </w:pPr>
      <w:rPr>
        <w:rFonts w:hint="default"/>
      </w:rPr>
    </w:lvl>
    <w:lvl w:ilvl="6" w:tplc="DDBC33E8">
      <w:start w:val="1"/>
      <w:numFmt w:val="bullet"/>
      <w:lvlText w:val="•"/>
      <w:lvlJc w:val="left"/>
      <w:pPr>
        <w:ind w:left="6128" w:hanging="629"/>
      </w:pPr>
      <w:rPr>
        <w:rFonts w:hint="default"/>
      </w:rPr>
    </w:lvl>
    <w:lvl w:ilvl="7" w:tplc="9384B2DE">
      <w:start w:val="1"/>
      <w:numFmt w:val="bullet"/>
      <w:lvlText w:val="•"/>
      <w:lvlJc w:val="left"/>
      <w:pPr>
        <w:ind w:left="7026" w:hanging="629"/>
      </w:pPr>
      <w:rPr>
        <w:rFonts w:hint="default"/>
      </w:rPr>
    </w:lvl>
    <w:lvl w:ilvl="8" w:tplc="6436E684">
      <w:start w:val="1"/>
      <w:numFmt w:val="bullet"/>
      <w:lvlText w:val="•"/>
      <w:lvlJc w:val="left"/>
      <w:pPr>
        <w:ind w:left="7924" w:hanging="629"/>
      </w:pPr>
      <w:rPr>
        <w:rFonts w:hint="default"/>
      </w:rPr>
    </w:lvl>
  </w:abstractNum>
  <w:abstractNum w:abstractNumId="15" w15:restartNumberingAfterBreak="0">
    <w:nsid w:val="4987044C"/>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4A1840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2440E2"/>
    <w:multiLevelType w:val="hybridMultilevel"/>
    <w:tmpl w:val="D64A71DC"/>
    <w:lvl w:ilvl="0" w:tplc="04090001">
      <w:start w:val="1"/>
      <w:numFmt w:val="bullet"/>
      <w:lvlText w:val=""/>
      <w:lvlJc w:val="left"/>
      <w:pPr>
        <w:ind w:left="1800" w:hanging="360"/>
      </w:pPr>
      <w:rPr>
        <w:rFonts w:ascii="Symbol" w:hAnsi="Symbo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B96A35"/>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5CE21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AF3D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F44558"/>
    <w:multiLevelType w:val="singleLevel"/>
    <w:tmpl w:val="2008402A"/>
    <w:lvl w:ilvl="0">
      <w:start w:val="1"/>
      <w:numFmt w:val="lowerRoman"/>
      <w:lvlText w:val="%1."/>
      <w:lvlJc w:val="left"/>
      <w:pPr>
        <w:tabs>
          <w:tab w:val="num" w:pos="1440"/>
        </w:tabs>
        <w:ind w:left="1440" w:hanging="720"/>
      </w:pPr>
      <w:rPr>
        <w:rFonts w:hint="default"/>
      </w:rPr>
    </w:lvl>
  </w:abstractNum>
  <w:abstractNum w:abstractNumId="22" w15:restartNumberingAfterBreak="0">
    <w:nsid w:val="65401ED6"/>
    <w:multiLevelType w:val="singleLevel"/>
    <w:tmpl w:val="5B2E6450"/>
    <w:lvl w:ilvl="0">
      <w:start w:val="1"/>
      <w:numFmt w:val="lowerRoman"/>
      <w:lvlText w:val="%1."/>
      <w:lvlJc w:val="left"/>
      <w:pPr>
        <w:tabs>
          <w:tab w:val="num" w:pos="1440"/>
        </w:tabs>
        <w:ind w:left="1440" w:hanging="720"/>
      </w:pPr>
      <w:rPr>
        <w:rFonts w:hint="default"/>
      </w:rPr>
    </w:lvl>
  </w:abstractNum>
  <w:abstractNum w:abstractNumId="23" w15:restartNumberingAfterBreak="0">
    <w:nsid w:val="75C977C5"/>
    <w:multiLevelType w:val="hybridMultilevel"/>
    <w:tmpl w:val="FFEA529C"/>
    <w:lvl w:ilvl="0" w:tplc="04090001">
      <w:start w:val="1"/>
      <w:numFmt w:val="bullet"/>
      <w:lvlText w:val=""/>
      <w:lvlJc w:val="left"/>
      <w:pPr>
        <w:ind w:left="1800" w:hanging="360"/>
      </w:pPr>
      <w:rPr>
        <w:rFonts w:ascii="Symbol" w:hAnsi="Symbo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43636C"/>
    <w:multiLevelType w:val="hybridMultilevel"/>
    <w:tmpl w:val="5F06DD6E"/>
    <w:lvl w:ilvl="0" w:tplc="42B2F6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99126F"/>
    <w:multiLevelType w:val="singleLevel"/>
    <w:tmpl w:val="B48E1EA0"/>
    <w:lvl w:ilvl="0">
      <w:start w:val="1"/>
      <w:numFmt w:val="decimal"/>
      <w:lvlText w:val="(%1)"/>
      <w:lvlJc w:val="left"/>
      <w:pPr>
        <w:tabs>
          <w:tab w:val="num" w:pos="360"/>
        </w:tabs>
        <w:ind w:left="360" w:hanging="360"/>
      </w:pPr>
      <w:rPr>
        <w:rFonts w:hint="default"/>
      </w:rPr>
    </w:lvl>
  </w:abstractNum>
  <w:num w:numId="1" w16cid:durableId="1064524695">
    <w:abstractNumId w:val="14"/>
  </w:num>
  <w:num w:numId="2" w16cid:durableId="507867060">
    <w:abstractNumId w:val="25"/>
  </w:num>
  <w:num w:numId="3" w16cid:durableId="1125808314">
    <w:abstractNumId w:val="18"/>
  </w:num>
  <w:num w:numId="4" w16cid:durableId="1194927704">
    <w:abstractNumId w:val="15"/>
  </w:num>
  <w:num w:numId="5" w16cid:durableId="1079861712">
    <w:abstractNumId w:val="3"/>
  </w:num>
  <w:num w:numId="6" w16cid:durableId="470640286">
    <w:abstractNumId w:val="12"/>
  </w:num>
  <w:num w:numId="7" w16cid:durableId="1954046842">
    <w:abstractNumId w:val="7"/>
  </w:num>
  <w:num w:numId="8" w16cid:durableId="1850680754">
    <w:abstractNumId w:val="19"/>
  </w:num>
  <w:num w:numId="9" w16cid:durableId="1250188286">
    <w:abstractNumId w:val="16"/>
  </w:num>
  <w:num w:numId="10" w16cid:durableId="556629061">
    <w:abstractNumId w:val="11"/>
  </w:num>
  <w:num w:numId="11" w16cid:durableId="1858275294">
    <w:abstractNumId w:val="13"/>
  </w:num>
  <w:num w:numId="12" w16cid:durableId="1577090773">
    <w:abstractNumId w:val="20"/>
  </w:num>
  <w:num w:numId="13" w16cid:durableId="994256803">
    <w:abstractNumId w:val="5"/>
  </w:num>
  <w:num w:numId="14" w16cid:durableId="348723194">
    <w:abstractNumId w:val="22"/>
  </w:num>
  <w:num w:numId="15" w16cid:durableId="847451930">
    <w:abstractNumId w:val="21"/>
  </w:num>
  <w:num w:numId="16" w16cid:durableId="1774014422">
    <w:abstractNumId w:val="1"/>
  </w:num>
  <w:num w:numId="17" w16cid:durableId="245385302">
    <w:abstractNumId w:val="0"/>
  </w:num>
  <w:num w:numId="18" w16cid:durableId="834343933">
    <w:abstractNumId w:val="4"/>
  </w:num>
  <w:num w:numId="19" w16cid:durableId="1888757555">
    <w:abstractNumId w:val="10"/>
  </w:num>
  <w:num w:numId="20" w16cid:durableId="206915430">
    <w:abstractNumId w:val="9"/>
  </w:num>
  <w:num w:numId="21" w16cid:durableId="1285817612">
    <w:abstractNumId w:val="24"/>
  </w:num>
  <w:num w:numId="22" w16cid:durableId="604385182">
    <w:abstractNumId w:val="6"/>
  </w:num>
  <w:num w:numId="23" w16cid:durableId="1502158573">
    <w:abstractNumId w:val="2"/>
  </w:num>
  <w:num w:numId="24" w16cid:durableId="1762414893">
    <w:abstractNumId w:val="23"/>
  </w:num>
  <w:num w:numId="25" w16cid:durableId="1402828008">
    <w:abstractNumId w:val="17"/>
  </w:num>
  <w:num w:numId="26" w16cid:durableId="1460146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E0"/>
    <w:rsid w:val="000366DA"/>
    <w:rsid w:val="000B2828"/>
    <w:rsid w:val="000B3A15"/>
    <w:rsid w:val="000C4655"/>
    <w:rsid w:val="000D57F9"/>
    <w:rsid w:val="001155FB"/>
    <w:rsid w:val="00177F35"/>
    <w:rsid w:val="00283D40"/>
    <w:rsid w:val="0029405B"/>
    <w:rsid w:val="002A2302"/>
    <w:rsid w:val="00304824"/>
    <w:rsid w:val="0034193F"/>
    <w:rsid w:val="003D6544"/>
    <w:rsid w:val="004636F9"/>
    <w:rsid w:val="00506426"/>
    <w:rsid w:val="0059169A"/>
    <w:rsid w:val="005D3B3B"/>
    <w:rsid w:val="00605651"/>
    <w:rsid w:val="00626800"/>
    <w:rsid w:val="006C3FA5"/>
    <w:rsid w:val="006E3B65"/>
    <w:rsid w:val="00812183"/>
    <w:rsid w:val="00823A65"/>
    <w:rsid w:val="00875162"/>
    <w:rsid w:val="0089200A"/>
    <w:rsid w:val="00956845"/>
    <w:rsid w:val="00974EBA"/>
    <w:rsid w:val="00991AD6"/>
    <w:rsid w:val="009A45BC"/>
    <w:rsid w:val="009E2D35"/>
    <w:rsid w:val="00AB73C5"/>
    <w:rsid w:val="00AF38E0"/>
    <w:rsid w:val="00B108A1"/>
    <w:rsid w:val="00C31584"/>
    <w:rsid w:val="00C7529F"/>
    <w:rsid w:val="00D10820"/>
    <w:rsid w:val="00D66C51"/>
    <w:rsid w:val="00E14B19"/>
    <w:rsid w:val="00EE4607"/>
    <w:rsid w:val="00F64901"/>
    <w:rsid w:val="00FD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F1A803"/>
  <w15:docId w15:val="{A6AA12B9-ED05-469C-9920-F753FE0F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9" w:hanging="629"/>
    </w:pPr>
    <w:rPr>
      <w:sz w:val="24"/>
      <w:szCs w:val="24"/>
    </w:rPr>
  </w:style>
  <w:style w:type="paragraph" w:styleId="ListParagraph">
    <w:name w:val="List Paragraph"/>
    <w:basedOn w:val="Normal"/>
    <w:uiPriority w:val="34"/>
    <w:qFormat/>
    <w:pPr>
      <w:ind w:left="739" w:right="130" w:hanging="6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5162"/>
    <w:pPr>
      <w:tabs>
        <w:tab w:val="center" w:pos="4680"/>
        <w:tab w:val="right" w:pos="9360"/>
      </w:tabs>
    </w:pPr>
  </w:style>
  <w:style w:type="character" w:customStyle="1" w:styleId="HeaderChar">
    <w:name w:val="Header Char"/>
    <w:basedOn w:val="DefaultParagraphFont"/>
    <w:link w:val="Header"/>
    <w:uiPriority w:val="99"/>
    <w:rsid w:val="00875162"/>
    <w:rPr>
      <w:rFonts w:ascii="Times New Roman" w:eastAsia="Times New Roman" w:hAnsi="Times New Roman" w:cs="Times New Roman"/>
    </w:rPr>
  </w:style>
  <w:style w:type="paragraph" w:styleId="Footer">
    <w:name w:val="footer"/>
    <w:basedOn w:val="Normal"/>
    <w:link w:val="FooterChar"/>
    <w:uiPriority w:val="99"/>
    <w:unhideWhenUsed/>
    <w:rsid w:val="00875162"/>
    <w:pPr>
      <w:tabs>
        <w:tab w:val="center" w:pos="4680"/>
        <w:tab w:val="right" w:pos="9360"/>
      </w:tabs>
    </w:pPr>
  </w:style>
  <w:style w:type="character" w:customStyle="1" w:styleId="FooterChar">
    <w:name w:val="Footer Char"/>
    <w:basedOn w:val="DefaultParagraphFont"/>
    <w:link w:val="Footer"/>
    <w:uiPriority w:val="99"/>
    <w:rsid w:val="00875162"/>
    <w:rPr>
      <w:rFonts w:ascii="Times New Roman" w:eastAsia="Times New Roman" w:hAnsi="Times New Roman" w:cs="Times New Roman"/>
    </w:rPr>
  </w:style>
  <w:style w:type="character" w:styleId="Hyperlink">
    <w:name w:val="Hyperlink"/>
    <w:basedOn w:val="DefaultParagraphFont"/>
    <w:uiPriority w:val="99"/>
    <w:unhideWhenUsed/>
    <w:rsid w:val="003D6544"/>
    <w:rPr>
      <w:color w:val="0000FF" w:themeColor="hyperlink"/>
      <w:u w:val="single"/>
    </w:rPr>
  </w:style>
  <w:style w:type="character" w:styleId="UnresolvedMention">
    <w:name w:val="Unresolved Mention"/>
    <w:basedOn w:val="DefaultParagraphFont"/>
    <w:uiPriority w:val="99"/>
    <w:semiHidden/>
    <w:unhideWhenUsed/>
    <w:rsid w:val="003D6544"/>
    <w:rPr>
      <w:color w:val="605E5C"/>
      <w:shd w:val="clear" w:color="auto" w:fill="E1DFDD"/>
    </w:rPr>
  </w:style>
  <w:style w:type="paragraph" w:customStyle="1" w:styleId="Header4">
    <w:name w:val="Header 4"/>
    <w:basedOn w:val="Normal"/>
    <w:link w:val="Header4Char"/>
    <w:qFormat/>
    <w:rsid w:val="000B2828"/>
    <w:pPr>
      <w:widowControl/>
      <w:autoSpaceDE w:val="0"/>
      <w:autoSpaceDN w:val="0"/>
      <w:adjustRightInd w:val="0"/>
    </w:pPr>
    <w:rPr>
      <w:b/>
      <w:sz w:val="24"/>
      <w:szCs w:val="24"/>
    </w:rPr>
  </w:style>
  <w:style w:type="character" w:customStyle="1" w:styleId="Header4Char">
    <w:name w:val="Header 4 Char"/>
    <w:link w:val="Header4"/>
    <w:rsid w:val="000B2828"/>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6E3B65"/>
    <w:rPr>
      <w:color w:val="800080" w:themeColor="followedHyperlink"/>
      <w:u w:val="single"/>
    </w:rPr>
  </w:style>
  <w:style w:type="paragraph" w:styleId="Revision">
    <w:name w:val="Revision"/>
    <w:hidden/>
    <w:uiPriority w:val="99"/>
    <w:semiHidden/>
    <w:rsid w:val="00991AD6"/>
    <w:pPr>
      <w:widowControl/>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dus.edu/state-board-of-higher-education/sbhe-policies/600-heading-polic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E53A-8821-48FD-9CA2-45372DB4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2962</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Hageness, Sandra</dc:creator>
  <cp:lastModifiedBy>Hageness, Sandy</cp:lastModifiedBy>
  <cp:revision>2</cp:revision>
  <dcterms:created xsi:type="dcterms:W3CDTF">2025-02-28T18:23:00Z</dcterms:created>
  <dcterms:modified xsi:type="dcterms:W3CDTF">2025-02-28T18:23:00Z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15 for Word</vt:lpwstr>
  </property>
  <property fmtid="{D5CDD505-2E9C-101B-9397-08002B2CF9AE}" pid="4" name="LastSaved">
    <vt:filetime>2020-05-20T00:00:00Z</vt:filetime>
  </property>
  <property fmtid="{D5CDD505-2E9C-101B-9397-08002B2CF9AE}" pid="5" name="GrammarlyDocumentId">
    <vt:lpwstr>0ee7d49ab1cc6a66116f2cd2575b30ae97a4e874fb4c01d713efef0b70110ab4</vt:lpwstr>
  </property>
</Properties>
</file>