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36CF" w14:textId="77777777" w:rsidR="002D4B23" w:rsidRPr="00F407DD" w:rsidRDefault="002D4B23" w:rsidP="002D4B23">
      <w:pPr>
        <w:jc w:val="center"/>
        <w:rPr>
          <w:rFonts w:ascii="Arial" w:hAnsi="Arial" w:cs="Arial"/>
          <w:b/>
          <w:sz w:val="28"/>
          <w:szCs w:val="28"/>
        </w:rPr>
      </w:pPr>
      <w:r w:rsidRPr="00F407DD">
        <w:rPr>
          <w:rFonts w:ascii="Arial" w:hAnsi="Arial" w:cs="Arial"/>
          <w:b/>
          <w:sz w:val="28"/>
          <w:szCs w:val="28"/>
        </w:rPr>
        <w:t>MSU-BOTTINEAU</w:t>
      </w:r>
    </w:p>
    <w:p w14:paraId="69929F5A" w14:textId="77777777" w:rsidR="002D4B23" w:rsidRPr="00F407DD" w:rsidRDefault="002D4B23" w:rsidP="002D4B23">
      <w:pPr>
        <w:jc w:val="center"/>
        <w:rPr>
          <w:rFonts w:ascii="Arial" w:hAnsi="Arial" w:cs="Arial"/>
          <w:b/>
          <w:sz w:val="28"/>
          <w:szCs w:val="28"/>
        </w:rPr>
      </w:pPr>
      <w:r w:rsidRPr="00F407DD">
        <w:rPr>
          <w:rFonts w:ascii="Arial" w:hAnsi="Arial" w:cs="Arial"/>
          <w:b/>
          <w:sz w:val="28"/>
          <w:szCs w:val="28"/>
        </w:rPr>
        <w:t>Course Outline</w:t>
      </w:r>
    </w:p>
    <w:p w14:paraId="38F83F26" w14:textId="77777777" w:rsidR="002D4B23" w:rsidRPr="00F407DD" w:rsidRDefault="002D4B23" w:rsidP="002D4B23">
      <w:pPr>
        <w:jc w:val="center"/>
        <w:rPr>
          <w:rFonts w:ascii="Arial" w:hAnsi="Arial" w:cs="Arial"/>
          <w:b/>
          <w:sz w:val="20"/>
          <w:szCs w:val="20"/>
        </w:rPr>
      </w:pPr>
    </w:p>
    <w:p w14:paraId="269B6D86" w14:textId="77777777" w:rsidR="00F407DD" w:rsidRPr="00F407DD" w:rsidRDefault="002D4B23" w:rsidP="00F407DD">
      <w:pPr>
        <w:jc w:val="both"/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Name of Instructor:</w:t>
      </w:r>
      <w:r w:rsidRPr="00F407DD">
        <w:rPr>
          <w:rFonts w:ascii="Arial" w:hAnsi="Arial" w:cs="Arial"/>
          <w:sz w:val="20"/>
          <w:szCs w:val="20"/>
        </w:rPr>
        <w:t xml:space="preserve">  </w:t>
      </w:r>
      <w:r w:rsidR="00F407DD" w:rsidRPr="00F407DD">
        <w:rPr>
          <w:rFonts w:ascii="Arial" w:hAnsi="Arial" w:cs="Arial"/>
          <w:sz w:val="20"/>
          <w:szCs w:val="20"/>
        </w:rPr>
        <w:t>Mr. Matt Richter</w:t>
      </w:r>
    </w:p>
    <w:p w14:paraId="33C5638E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</w:p>
    <w:p w14:paraId="36890911" w14:textId="77777777" w:rsidR="00F407DD" w:rsidRPr="00F407DD" w:rsidRDefault="002D4B23" w:rsidP="00F407DD">
      <w:pPr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Course Title and Number:</w:t>
      </w:r>
      <w:r w:rsidRPr="00F407DD">
        <w:rPr>
          <w:rFonts w:ascii="Arial" w:hAnsi="Arial" w:cs="Arial"/>
          <w:sz w:val="20"/>
          <w:szCs w:val="20"/>
        </w:rPr>
        <w:t xml:space="preserve">   </w:t>
      </w:r>
      <w:r w:rsidR="00F407DD" w:rsidRPr="00F407DD">
        <w:rPr>
          <w:rFonts w:ascii="Arial" w:hAnsi="Arial" w:cs="Arial"/>
          <w:sz w:val="20"/>
          <w:szCs w:val="20"/>
        </w:rPr>
        <w:t>BADM 202 Principles of Management</w:t>
      </w:r>
    </w:p>
    <w:p w14:paraId="422D99C8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</w:p>
    <w:p w14:paraId="6A7167DE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Credits:</w:t>
      </w:r>
      <w:r w:rsidRPr="00F407DD">
        <w:rPr>
          <w:rFonts w:ascii="Arial" w:hAnsi="Arial" w:cs="Arial"/>
          <w:sz w:val="20"/>
          <w:szCs w:val="20"/>
        </w:rPr>
        <w:t xml:space="preserve">  </w:t>
      </w:r>
      <w:r w:rsidR="00F407DD" w:rsidRPr="00F407DD">
        <w:rPr>
          <w:rFonts w:ascii="Arial" w:hAnsi="Arial" w:cs="Arial"/>
          <w:sz w:val="20"/>
          <w:szCs w:val="20"/>
        </w:rPr>
        <w:t>3</w:t>
      </w:r>
    </w:p>
    <w:p w14:paraId="1BAAA42A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</w:p>
    <w:p w14:paraId="7C68A40A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Prerequisite:</w:t>
      </w:r>
      <w:r w:rsidRPr="00F407DD">
        <w:rPr>
          <w:rFonts w:ascii="Arial" w:hAnsi="Arial" w:cs="Arial"/>
          <w:sz w:val="20"/>
          <w:szCs w:val="20"/>
        </w:rPr>
        <w:t xml:space="preserve">  </w:t>
      </w:r>
      <w:r w:rsidR="00F407DD" w:rsidRPr="00F407DD">
        <w:rPr>
          <w:rFonts w:ascii="Arial" w:hAnsi="Arial" w:cs="Arial"/>
          <w:sz w:val="20"/>
          <w:szCs w:val="20"/>
        </w:rPr>
        <w:t>None</w:t>
      </w:r>
    </w:p>
    <w:p w14:paraId="556A0A18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</w:p>
    <w:p w14:paraId="60121B4D" w14:textId="77777777" w:rsidR="00F407DD" w:rsidRDefault="002D4B23" w:rsidP="00F407DD">
      <w:pPr>
        <w:jc w:val="both"/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Course Description:</w:t>
      </w:r>
      <w:r w:rsidR="00F407DD" w:rsidRPr="00F407DD">
        <w:rPr>
          <w:rFonts w:ascii="Arial" w:hAnsi="Arial" w:cs="Arial"/>
          <w:sz w:val="20"/>
          <w:szCs w:val="20"/>
        </w:rPr>
        <w:t xml:space="preserve"> </w:t>
      </w:r>
    </w:p>
    <w:p w14:paraId="31AE37FC" w14:textId="77777777" w:rsidR="00A963C3" w:rsidRDefault="00A963C3" w:rsidP="00A963C3">
      <w:pPr>
        <w:jc w:val="both"/>
        <w:rPr>
          <w:rFonts w:ascii="Arial" w:hAnsi="Arial" w:cs="Arial"/>
          <w:sz w:val="20"/>
          <w:szCs w:val="20"/>
        </w:rPr>
      </w:pPr>
      <w:r w:rsidRPr="0058453E">
        <w:rPr>
          <w:rFonts w:ascii="Arial" w:hAnsi="Arial" w:cs="Arial"/>
          <w:sz w:val="20"/>
          <w:szCs w:val="20"/>
        </w:rPr>
        <w:t xml:space="preserve">This course is designed to study the basic functions of management which include planning, organizing, directing and controlling. </w:t>
      </w:r>
      <w:r>
        <w:rPr>
          <w:rFonts w:ascii="Arial" w:hAnsi="Arial" w:cs="Arial"/>
          <w:sz w:val="20"/>
          <w:szCs w:val="20"/>
        </w:rPr>
        <w:t xml:space="preserve">This course introduces students to effective conflict management, communication, leadership, and </w:t>
      </w:r>
      <w:proofErr w:type="gramStart"/>
      <w:r>
        <w:rPr>
          <w:rFonts w:ascii="Arial" w:hAnsi="Arial" w:cs="Arial"/>
          <w:sz w:val="20"/>
          <w:szCs w:val="20"/>
        </w:rPr>
        <w:t>decision making</w:t>
      </w:r>
      <w:proofErr w:type="gramEnd"/>
      <w:r>
        <w:rPr>
          <w:rFonts w:ascii="Arial" w:hAnsi="Arial" w:cs="Arial"/>
          <w:sz w:val="20"/>
          <w:szCs w:val="20"/>
        </w:rPr>
        <w:t xml:space="preserve"> techniques. Additional management issues that are addressed include human resources management, ethics, and diversity. </w:t>
      </w:r>
    </w:p>
    <w:p w14:paraId="03A67E51" w14:textId="77777777" w:rsidR="002D4B23" w:rsidRPr="00F407DD" w:rsidRDefault="002D4B23" w:rsidP="002D4B23">
      <w:pPr>
        <w:rPr>
          <w:rFonts w:ascii="Arial" w:hAnsi="Arial" w:cs="Arial"/>
          <w:b/>
          <w:sz w:val="20"/>
          <w:szCs w:val="20"/>
        </w:rPr>
      </w:pPr>
    </w:p>
    <w:p w14:paraId="25488CA5" w14:textId="77777777" w:rsidR="00F407DD" w:rsidRPr="00F407DD" w:rsidRDefault="00F407DD" w:rsidP="00F407DD">
      <w:pPr>
        <w:jc w:val="both"/>
        <w:rPr>
          <w:rFonts w:ascii="Arial" w:hAnsi="Arial" w:cs="Arial"/>
          <w:b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Required Text</w:t>
      </w:r>
    </w:p>
    <w:p w14:paraId="6B4857A7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sz w:val="20"/>
          <w:szCs w:val="20"/>
        </w:rPr>
        <w:t xml:space="preserve">Contemporary Management, Fourth Edition – Jones and George. </w:t>
      </w:r>
    </w:p>
    <w:p w14:paraId="515786F8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</w:p>
    <w:p w14:paraId="25E1C81D" w14:textId="77777777" w:rsidR="00F407DD" w:rsidRPr="00F407DD" w:rsidRDefault="00F407DD" w:rsidP="00F407DD">
      <w:pPr>
        <w:jc w:val="both"/>
        <w:rPr>
          <w:rFonts w:ascii="Arial" w:hAnsi="Arial" w:cs="Arial"/>
          <w:b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Course Objectives</w:t>
      </w:r>
    </w:p>
    <w:p w14:paraId="61C6C937" w14:textId="77777777" w:rsidR="00B22E80" w:rsidRPr="0058453E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8453E">
        <w:rPr>
          <w:rFonts w:ascii="Arial" w:hAnsi="Arial" w:cs="Arial"/>
          <w:sz w:val="20"/>
          <w:szCs w:val="20"/>
        </w:rPr>
        <w:t>After taking this course students should be able to:</w:t>
      </w:r>
    </w:p>
    <w:p w14:paraId="2222242A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 xml:space="preserve">Describe what management is, why management is important, what managers do, and how managers utilize organizational resources efficiently and effectively to achieve organizational goals. </w:t>
      </w:r>
    </w:p>
    <w:p w14:paraId="12D2294A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 xml:space="preserve">Distinguish among planning, organizing, leading, and controlling (the four main management functions) and explain how managers’ ability to handle each one can affect organizational performance. </w:t>
      </w:r>
    </w:p>
    <w:p w14:paraId="2386C10B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 xml:space="preserve">Discuss the principle challenges facing managers in today’s increasingly competitive global environment. </w:t>
      </w:r>
    </w:p>
    <w:p w14:paraId="03A88F94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 xml:space="preserve">Describe how the need to increase organizational efficiency and effectiveness has guided the evolution of management theory. </w:t>
      </w:r>
    </w:p>
    <w:p w14:paraId="7498C64D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Explain the principle of job specialization and division of labor</w:t>
      </w:r>
    </w:p>
    <w:p w14:paraId="23FC7840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Describe the various personality traits that affect how managers think, feel, and behave.</w:t>
      </w:r>
    </w:p>
    <w:p w14:paraId="279E07E4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Describe the nature of emotional intelligence and its role in management.</w:t>
      </w:r>
    </w:p>
    <w:p w14:paraId="74A18B18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Define organizational culture and explain how managers both create, and are influenced by, organizational culture.</w:t>
      </w:r>
    </w:p>
    <w:p w14:paraId="74620CAE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Describe conflict management strategies that managers can use to resolve conflict effectively.</w:t>
      </w:r>
    </w:p>
    <w:p w14:paraId="708D5DE1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Describe important communication skills that managers need as senders and as receivers of messages.</w:t>
      </w:r>
    </w:p>
    <w:p w14:paraId="7A576583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Explain why effective human resources management can help an organization gain a competitive advantage.</w:t>
      </w:r>
    </w:p>
    <w:p w14:paraId="05DE5EA2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Describe the six steps that managers should take to make the best decisions.</w:t>
      </w:r>
    </w:p>
    <w:p w14:paraId="3EE1330F" w14:textId="77777777" w:rsidR="00B22E80" w:rsidRPr="00FD73AC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Understand the steps managers can take to effectively manage diversity.</w:t>
      </w:r>
    </w:p>
    <w:p w14:paraId="6070A7DB" w14:textId="77777777" w:rsidR="00B22E80" w:rsidRDefault="00B22E80" w:rsidP="00B22E8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D73AC">
        <w:rPr>
          <w:rFonts w:ascii="Arial" w:hAnsi="Arial" w:cs="Arial"/>
          <w:sz w:val="20"/>
          <w:szCs w:val="20"/>
        </w:rPr>
        <w:t>•</w:t>
      </w:r>
      <w:r w:rsidRPr="00FD73AC">
        <w:rPr>
          <w:rFonts w:ascii="Arial" w:hAnsi="Arial" w:cs="Arial"/>
          <w:sz w:val="20"/>
          <w:szCs w:val="20"/>
        </w:rPr>
        <w:tab/>
        <w:t>Understand the relationship between ethics and the law.</w:t>
      </w:r>
    </w:p>
    <w:p w14:paraId="5CE45B7E" w14:textId="77777777" w:rsidR="00B22E80" w:rsidRPr="00EF0CCF" w:rsidRDefault="00B22E80" w:rsidP="00B22E80">
      <w:pPr>
        <w:jc w:val="both"/>
        <w:rPr>
          <w:rFonts w:ascii="Arial" w:hAnsi="Arial" w:cs="Arial"/>
          <w:sz w:val="20"/>
          <w:szCs w:val="20"/>
        </w:rPr>
      </w:pPr>
      <w:r w:rsidRPr="00EF0CCF">
        <w:rPr>
          <w:rFonts w:ascii="Arial" w:hAnsi="Arial" w:cs="Arial"/>
          <w:sz w:val="20"/>
          <w:szCs w:val="20"/>
        </w:rPr>
        <w:t>These course objectives meet the following MSU-B General Education Goals; #1, to develop the ability to communicate, #2, to develop thinking skills, #8, to understand and appreciate cultural diversity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EF0CCF">
        <w:rPr>
          <w:rFonts w:ascii="Arial" w:hAnsi="Arial" w:cs="Arial"/>
          <w:sz w:val="20"/>
          <w:szCs w:val="20"/>
        </w:rPr>
        <w:t>#9, to develop lifelong learning skills, #10, to foster interpersonal development.</w:t>
      </w:r>
    </w:p>
    <w:p w14:paraId="3F96CFEF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</w:p>
    <w:p w14:paraId="17B3D187" w14:textId="77777777" w:rsidR="00F407DD" w:rsidRPr="00F407DD" w:rsidRDefault="00F407DD" w:rsidP="00F407DD">
      <w:pPr>
        <w:jc w:val="both"/>
        <w:rPr>
          <w:rFonts w:ascii="Arial" w:hAnsi="Arial" w:cs="Arial"/>
          <w:b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>Course Requirements and Evaluation</w:t>
      </w:r>
    </w:p>
    <w:p w14:paraId="6879E961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sz w:val="20"/>
          <w:szCs w:val="20"/>
        </w:rPr>
        <w:t xml:space="preserve">Course requirements consist of class participation, projects, presentations, quizzes, and exams. </w:t>
      </w:r>
    </w:p>
    <w:p w14:paraId="27FB1711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</w:p>
    <w:p w14:paraId="66B09F12" w14:textId="77777777" w:rsidR="00B22E80" w:rsidRDefault="00B22E80" w:rsidP="00F407DD">
      <w:pPr>
        <w:jc w:val="both"/>
        <w:rPr>
          <w:rFonts w:ascii="Arial" w:hAnsi="Arial" w:cs="Arial"/>
          <w:b/>
          <w:sz w:val="20"/>
          <w:szCs w:val="20"/>
        </w:rPr>
      </w:pPr>
    </w:p>
    <w:p w14:paraId="3EA1331C" w14:textId="77777777" w:rsidR="00BC36CC" w:rsidRDefault="00BC36CC" w:rsidP="00F407DD">
      <w:pPr>
        <w:jc w:val="both"/>
        <w:rPr>
          <w:rFonts w:ascii="Arial" w:hAnsi="Arial" w:cs="Arial"/>
          <w:b/>
          <w:sz w:val="20"/>
          <w:szCs w:val="20"/>
        </w:rPr>
      </w:pPr>
    </w:p>
    <w:p w14:paraId="20D362B6" w14:textId="493297CE" w:rsidR="00F407DD" w:rsidRPr="00F407DD" w:rsidRDefault="00F407DD" w:rsidP="00F407DD">
      <w:pPr>
        <w:jc w:val="both"/>
        <w:rPr>
          <w:rFonts w:ascii="Arial" w:hAnsi="Arial" w:cs="Arial"/>
          <w:b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lastRenderedPageBreak/>
        <w:t>Grade Weighting</w:t>
      </w:r>
    </w:p>
    <w:p w14:paraId="687EAC8B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  <w:r w:rsidRPr="00F407DD">
        <w:rPr>
          <w:rFonts w:ascii="Arial" w:hAnsi="Arial" w:cs="Arial"/>
          <w:sz w:val="20"/>
          <w:szCs w:val="20"/>
        </w:rPr>
        <w:t xml:space="preserve">Exams (four total): 70% </w:t>
      </w:r>
    </w:p>
    <w:p w14:paraId="5EAE34D3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participation, p</w:t>
      </w:r>
      <w:r w:rsidRPr="00F407DD">
        <w:rPr>
          <w:rFonts w:ascii="Arial" w:hAnsi="Arial" w:cs="Arial"/>
          <w:sz w:val="20"/>
          <w:szCs w:val="20"/>
        </w:rPr>
        <w:t xml:space="preserve">rojects, </w:t>
      </w:r>
      <w:r>
        <w:rPr>
          <w:rFonts w:ascii="Arial" w:hAnsi="Arial" w:cs="Arial"/>
          <w:sz w:val="20"/>
          <w:szCs w:val="20"/>
        </w:rPr>
        <w:t>general assignments, presentations, quizzes: 3</w:t>
      </w:r>
      <w:r w:rsidRPr="00F407DD">
        <w:rPr>
          <w:rFonts w:ascii="Arial" w:hAnsi="Arial" w:cs="Arial"/>
          <w:sz w:val="20"/>
          <w:szCs w:val="20"/>
        </w:rPr>
        <w:t>0%</w:t>
      </w:r>
    </w:p>
    <w:p w14:paraId="5C2D64CF" w14:textId="77777777" w:rsidR="00F407DD" w:rsidRPr="00F407DD" w:rsidRDefault="00F407DD" w:rsidP="00F407DD">
      <w:pPr>
        <w:jc w:val="both"/>
        <w:rPr>
          <w:rFonts w:ascii="Arial" w:hAnsi="Arial" w:cs="Arial"/>
          <w:b/>
          <w:sz w:val="20"/>
          <w:szCs w:val="20"/>
        </w:rPr>
      </w:pPr>
    </w:p>
    <w:p w14:paraId="54813117" w14:textId="77777777" w:rsidR="00F407DD" w:rsidRPr="00F407DD" w:rsidRDefault="00F407DD" w:rsidP="00F407DD">
      <w:pPr>
        <w:jc w:val="both"/>
        <w:rPr>
          <w:rFonts w:ascii="Arial" w:hAnsi="Arial" w:cs="Arial"/>
          <w:b/>
          <w:sz w:val="20"/>
          <w:szCs w:val="20"/>
        </w:rPr>
      </w:pPr>
      <w:r w:rsidRPr="00F407DD">
        <w:rPr>
          <w:rFonts w:ascii="Arial" w:hAnsi="Arial" w:cs="Arial"/>
          <w:b/>
          <w:sz w:val="20"/>
          <w:szCs w:val="20"/>
        </w:rPr>
        <w:t xml:space="preserve">Grading Scale </w:t>
      </w:r>
    </w:p>
    <w:p w14:paraId="7B451BAA" w14:textId="77777777" w:rsidR="00F407DD" w:rsidRPr="00F407DD" w:rsidRDefault="00F407DD" w:rsidP="00F407D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18"/>
        <w:gridCol w:w="900"/>
      </w:tblGrid>
      <w:tr w:rsidR="00F407DD" w:rsidRPr="00F407DD" w14:paraId="43450024" w14:textId="77777777">
        <w:tc>
          <w:tcPr>
            <w:tcW w:w="1818" w:type="dxa"/>
          </w:tcPr>
          <w:p w14:paraId="25434092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90</w:t>
            </w:r>
            <w:proofErr w:type="gramStart"/>
            <w:r w:rsidRPr="00F407DD">
              <w:rPr>
                <w:rFonts w:ascii="Arial" w:hAnsi="Arial" w:cs="Arial"/>
                <w:sz w:val="20"/>
                <w:szCs w:val="20"/>
              </w:rPr>
              <w:t>%  -</w:t>
            </w:r>
            <w:proofErr w:type="gramEnd"/>
            <w:r w:rsidRPr="00F407DD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  <w:tc>
          <w:tcPr>
            <w:tcW w:w="900" w:type="dxa"/>
          </w:tcPr>
          <w:p w14:paraId="2010E59A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</w:tr>
      <w:tr w:rsidR="00F407DD" w:rsidRPr="00F407DD" w14:paraId="2D52BA99" w14:textId="77777777">
        <w:tc>
          <w:tcPr>
            <w:tcW w:w="1818" w:type="dxa"/>
          </w:tcPr>
          <w:p w14:paraId="49232B96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80% - 89%</w:t>
            </w:r>
          </w:p>
        </w:tc>
        <w:tc>
          <w:tcPr>
            <w:tcW w:w="900" w:type="dxa"/>
          </w:tcPr>
          <w:p w14:paraId="654BF068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407DD" w:rsidRPr="00F407DD" w14:paraId="6CDC5AB3" w14:textId="77777777">
        <w:tc>
          <w:tcPr>
            <w:tcW w:w="1818" w:type="dxa"/>
          </w:tcPr>
          <w:p w14:paraId="59CD39E0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70% - 79%</w:t>
            </w:r>
          </w:p>
        </w:tc>
        <w:tc>
          <w:tcPr>
            <w:tcW w:w="900" w:type="dxa"/>
          </w:tcPr>
          <w:p w14:paraId="31322C5B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407DD" w:rsidRPr="00F407DD" w14:paraId="7161E63F" w14:textId="77777777">
        <w:tc>
          <w:tcPr>
            <w:tcW w:w="1818" w:type="dxa"/>
          </w:tcPr>
          <w:p w14:paraId="5C907558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60% - 69%</w:t>
            </w:r>
          </w:p>
        </w:tc>
        <w:tc>
          <w:tcPr>
            <w:tcW w:w="900" w:type="dxa"/>
          </w:tcPr>
          <w:p w14:paraId="2CF29599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07DD" w:rsidRPr="00F407DD" w14:paraId="4C0CEFB3" w14:textId="77777777">
        <w:tc>
          <w:tcPr>
            <w:tcW w:w="1818" w:type="dxa"/>
          </w:tcPr>
          <w:p w14:paraId="53CAECA8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Less than 60%</w:t>
            </w:r>
          </w:p>
        </w:tc>
        <w:tc>
          <w:tcPr>
            <w:tcW w:w="900" w:type="dxa"/>
          </w:tcPr>
          <w:p w14:paraId="2AE5C6EB" w14:textId="77777777" w:rsidR="00F407DD" w:rsidRPr="00F407DD" w:rsidRDefault="00F407DD" w:rsidP="00F4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7D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27548710" w14:textId="77777777" w:rsidR="002D4B23" w:rsidRPr="00F407DD" w:rsidRDefault="002D4B23" w:rsidP="002D4B23">
      <w:pPr>
        <w:rPr>
          <w:rFonts w:ascii="Arial" w:hAnsi="Arial" w:cs="Arial"/>
          <w:sz w:val="20"/>
          <w:szCs w:val="20"/>
        </w:rPr>
      </w:pPr>
    </w:p>
    <w:sectPr w:rsidR="002D4B23" w:rsidRPr="00F40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6A3"/>
    <w:multiLevelType w:val="hybridMultilevel"/>
    <w:tmpl w:val="29588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80F34"/>
    <w:multiLevelType w:val="hybridMultilevel"/>
    <w:tmpl w:val="8FBA6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CD"/>
    <w:rsid w:val="002D4B23"/>
    <w:rsid w:val="002F4772"/>
    <w:rsid w:val="00A963C3"/>
    <w:rsid w:val="00B22E80"/>
    <w:rsid w:val="00B418CD"/>
    <w:rsid w:val="00BC36CC"/>
    <w:rsid w:val="00EF0CCF"/>
    <w:rsid w:val="00F33818"/>
    <w:rsid w:val="00F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D8DAF"/>
  <w15:chartTrackingRefBased/>
  <w15:docId w15:val="{503B4B02-2F1A-4BAA-9A2A-806C0D5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B2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%20Richter\Desktop\MSU%20B%20Course%20Outli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B Course Outline Template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>MSU-Bottineau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Matt Richter</dc:creator>
  <cp:keywords/>
  <dc:description/>
  <cp:lastModifiedBy>Leader, Josephine</cp:lastModifiedBy>
  <cp:revision>2</cp:revision>
  <cp:lastPrinted>2006-01-18T14:34:00Z</cp:lastPrinted>
  <dcterms:created xsi:type="dcterms:W3CDTF">2020-10-14T16:48:00Z</dcterms:created>
  <dcterms:modified xsi:type="dcterms:W3CDTF">2020-10-14T16:48:00Z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1877779440</vt:i4>
  </property>
  <property fmtid="{D5CDD505-2E9C-101B-9397-08002B2CF9AE}" pid="3" name="_EmailSubject">
    <vt:lpwstr>Course Outlines</vt:lpwstr>
  </property>
  <property fmtid="{D5CDD505-2E9C-101B-9397-08002B2CF9AE}" pid="4" name="_AuthorEmail">
    <vt:lpwstr>Matt.Richter@misu.nodak.edu</vt:lpwstr>
  </property>
  <property fmtid="{D5CDD505-2E9C-101B-9397-08002B2CF9AE}" pid="5" name="_AuthorEmailDisplayName">
    <vt:lpwstr>Matt Richter</vt:lpwstr>
  </property>
  <property fmtid="{D5CDD505-2E9C-101B-9397-08002B2CF9AE}" pid="6" name="_ReviewingToolsShownOnce">
    <vt:lpwstr/>
  </property>
</Properties>
</file>